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2BB5B" w14:textId="0A2F4A05" w:rsidR="0050586B" w:rsidRPr="00D34627" w:rsidRDefault="0050586B" w:rsidP="00256090">
      <w:pPr>
        <w:jc w:val="center"/>
        <w:rPr>
          <w:rFonts w:ascii="Times New Roman" w:hAnsi="Times New Roman" w:cs="Times New Roman"/>
          <w:b/>
          <w:lang w:val="en-GB"/>
        </w:rPr>
      </w:pPr>
      <w:r w:rsidRPr="00D34627">
        <w:rPr>
          <w:rFonts w:ascii="Times New Roman" w:hAnsi="Times New Roman" w:cs="Times New Roman"/>
          <w:b/>
          <w:lang w:val="en-GB"/>
        </w:rPr>
        <w:t>Supplementary Submission</w:t>
      </w:r>
      <w:r w:rsidR="00F14391" w:rsidRPr="00D34627">
        <w:rPr>
          <w:rFonts w:ascii="Times New Roman" w:hAnsi="Times New Roman" w:cs="Times New Roman"/>
          <w:b/>
          <w:lang w:val="en-GB"/>
        </w:rPr>
        <w:t xml:space="preserve"> of Amnesty International</w:t>
      </w:r>
    </w:p>
    <w:p w14:paraId="21FECC0D" w14:textId="6DD924CB" w:rsidR="0021031F" w:rsidRPr="00D34627" w:rsidRDefault="00F14391" w:rsidP="00C80CB6">
      <w:pPr>
        <w:jc w:val="center"/>
        <w:rPr>
          <w:rFonts w:ascii="Times New Roman" w:hAnsi="Times New Roman" w:cs="Times New Roman"/>
          <w:b/>
          <w:lang w:val="en-GB"/>
        </w:rPr>
      </w:pPr>
      <w:r w:rsidRPr="00D34627">
        <w:rPr>
          <w:rFonts w:ascii="Times New Roman" w:hAnsi="Times New Roman" w:cs="Times New Roman"/>
          <w:b/>
          <w:lang w:val="en-GB"/>
        </w:rPr>
        <w:t xml:space="preserve">Violence Against </w:t>
      </w:r>
      <w:r w:rsidR="0050586B" w:rsidRPr="00D34627">
        <w:rPr>
          <w:rFonts w:ascii="Times New Roman" w:hAnsi="Times New Roman" w:cs="Times New Roman"/>
          <w:b/>
          <w:lang w:val="en-GB"/>
        </w:rPr>
        <w:t xml:space="preserve">Indigenous </w:t>
      </w:r>
      <w:r w:rsidRPr="00D34627">
        <w:rPr>
          <w:rFonts w:ascii="Times New Roman" w:hAnsi="Times New Roman" w:cs="Times New Roman"/>
          <w:b/>
          <w:lang w:val="en-GB"/>
        </w:rPr>
        <w:t>Women</w:t>
      </w:r>
      <w:r w:rsidR="0050586B" w:rsidRPr="00D34627">
        <w:rPr>
          <w:rFonts w:ascii="Times New Roman" w:hAnsi="Times New Roman" w:cs="Times New Roman"/>
          <w:b/>
          <w:lang w:val="en-GB"/>
        </w:rPr>
        <w:t xml:space="preserve"> </w:t>
      </w:r>
      <w:r w:rsidR="00781681" w:rsidRPr="00D34627">
        <w:rPr>
          <w:rFonts w:ascii="Times New Roman" w:hAnsi="Times New Roman" w:cs="Times New Roman"/>
          <w:b/>
          <w:lang w:val="en-GB"/>
        </w:rPr>
        <w:t xml:space="preserve">and Girls </w:t>
      </w:r>
      <w:r w:rsidR="0050586B" w:rsidRPr="00D34627">
        <w:rPr>
          <w:rFonts w:ascii="Times New Roman" w:hAnsi="Times New Roman" w:cs="Times New Roman"/>
          <w:b/>
          <w:lang w:val="en-GB"/>
        </w:rPr>
        <w:t xml:space="preserve">in Canada and the </w:t>
      </w:r>
      <w:r w:rsidR="00873825" w:rsidRPr="00D34627">
        <w:rPr>
          <w:rFonts w:ascii="Times New Roman" w:hAnsi="Times New Roman" w:cs="Times New Roman"/>
          <w:b/>
          <w:lang w:val="en-GB"/>
        </w:rPr>
        <w:t xml:space="preserve">issue </w:t>
      </w:r>
      <w:r w:rsidR="0050586B" w:rsidRPr="00D34627">
        <w:rPr>
          <w:rFonts w:ascii="Times New Roman" w:hAnsi="Times New Roman" w:cs="Times New Roman"/>
          <w:b/>
          <w:lang w:val="en-GB"/>
        </w:rPr>
        <w:t>of “acquiescence” under article</w:t>
      </w:r>
      <w:r w:rsidR="00DE016F" w:rsidRPr="00D34627">
        <w:rPr>
          <w:rFonts w:ascii="Times New Roman" w:hAnsi="Times New Roman" w:cs="Times New Roman"/>
          <w:b/>
          <w:lang w:val="en-GB"/>
        </w:rPr>
        <w:t>s</w:t>
      </w:r>
      <w:r w:rsidR="0050586B" w:rsidRPr="00D34627">
        <w:rPr>
          <w:rFonts w:ascii="Times New Roman" w:hAnsi="Times New Roman" w:cs="Times New Roman"/>
          <w:b/>
          <w:lang w:val="en-GB"/>
        </w:rPr>
        <w:t xml:space="preserve"> 1</w:t>
      </w:r>
      <w:r w:rsidR="00DE016F" w:rsidRPr="00D34627">
        <w:rPr>
          <w:rFonts w:ascii="Times New Roman" w:hAnsi="Times New Roman" w:cs="Times New Roman"/>
          <w:b/>
          <w:lang w:val="en-GB"/>
        </w:rPr>
        <w:t xml:space="preserve"> and 16</w:t>
      </w:r>
      <w:r w:rsidR="0050586B" w:rsidRPr="00D34627">
        <w:rPr>
          <w:rFonts w:ascii="Times New Roman" w:hAnsi="Times New Roman" w:cs="Times New Roman"/>
          <w:b/>
          <w:lang w:val="en-GB"/>
        </w:rPr>
        <w:t xml:space="preserve"> of </w:t>
      </w:r>
      <w:r w:rsidRPr="00D34627">
        <w:rPr>
          <w:rFonts w:ascii="Times New Roman" w:hAnsi="Times New Roman" w:cs="Times New Roman"/>
          <w:b/>
          <w:lang w:val="en-GB"/>
        </w:rPr>
        <w:t>the Convention</w:t>
      </w:r>
      <w:r w:rsidR="0050586B" w:rsidRPr="00D34627">
        <w:rPr>
          <w:rFonts w:ascii="Times New Roman" w:hAnsi="Times New Roman" w:cs="Times New Roman"/>
          <w:b/>
          <w:lang w:val="en-GB"/>
        </w:rPr>
        <w:t xml:space="preserve"> against Torture</w:t>
      </w:r>
    </w:p>
    <w:p w14:paraId="45A8D06C" w14:textId="77777777" w:rsidR="00C80CB6" w:rsidRPr="00D34627" w:rsidRDefault="00C80CB6" w:rsidP="00C80CB6">
      <w:pPr>
        <w:jc w:val="center"/>
        <w:rPr>
          <w:rFonts w:ascii="Times New Roman" w:hAnsi="Times New Roman" w:cs="Times New Roman"/>
          <w:b/>
          <w:lang w:val="en-GB"/>
        </w:rPr>
      </w:pPr>
    </w:p>
    <w:p w14:paraId="711CAE54" w14:textId="5CD651D0" w:rsidR="00B1446D" w:rsidRPr="00D34627" w:rsidRDefault="00B1446D" w:rsidP="00597F6B">
      <w:pPr>
        <w:pStyle w:val="Style1"/>
        <w:rPr>
          <w:lang w:val="en-GB"/>
        </w:rPr>
      </w:pPr>
      <w:r w:rsidRPr="00D34627">
        <w:rPr>
          <w:lang w:val="en-GB"/>
        </w:rPr>
        <w:t>Introduction</w:t>
      </w:r>
    </w:p>
    <w:p w14:paraId="5F0FFEF5" w14:textId="77777777" w:rsidR="00B1446D" w:rsidRPr="00D34627" w:rsidRDefault="00B1446D" w:rsidP="00C6613D">
      <w:pPr>
        <w:jc w:val="both"/>
        <w:rPr>
          <w:rFonts w:ascii="Times New Roman" w:hAnsi="Times New Roman" w:cs="Times New Roman"/>
          <w:b/>
          <w:lang w:val="en-GB"/>
        </w:rPr>
      </w:pPr>
    </w:p>
    <w:p w14:paraId="7955BB70" w14:textId="1038F166" w:rsidR="00CB62EB" w:rsidRPr="00D34627" w:rsidRDefault="00EF48A2" w:rsidP="00C6613D">
      <w:pPr>
        <w:jc w:val="both"/>
        <w:rPr>
          <w:rFonts w:ascii="Times New Roman" w:hAnsi="Times New Roman" w:cs="Times New Roman"/>
          <w:lang w:val="en-GB"/>
        </w:rPr>
      </w:pPr>
      <w:r w:rsidRPr="00D34627">
        <w:rPr>
          <w:rFonts w:ascii="Times New Roman" w:hAnsi="Times New Roman" w:cs="Times New Roman"/>
          <w:lang w:val="en-GB"/>
        </w:rPr>
        <w:t xml:space="preserve">This </w:t>
      </w:r>
      <w:r w:rsidR="0050586B" w:rsidRPr="00D34627">
        <w:rPr>
          <w:rFonts w:ascii="Times New Roman" w:hAnsi="Times New Roman" w:cs="Times New Roman"/>
          <w:lang w:val="en-GB"/>
        </w:rPr>
        <w:t>supplementary</w:t>
      </w:r>
      <w:r w:rsidRPr="00D34627">
        <w:rPr>
          <w:rFonts w:ascii="Times New Roman" w:hAnsi="Times New Roman" w:cs="Times New Roman"/>
          <w:lang w:val="en-GB"/>
        </w:rPr>
        <w:t xml:space="preserve"> </w:t>
      </w:r>
      <w:r w:rsidR="0050586B" w:rsidRPr="00D34627">
        <w:rPr>
          <w:rFonts w:ascii="Times New Roman" w:hAnsi="Times New Roman" w:cs="Times New Roman"/>
          <w:lang w:val="en-GB"/>
        </w:rPr>
        <w:t xml:space="preserve">submission </w:t>
      </w:r>
      <w:r w:rsidRPr="00D34627">
        <w:rPr>
          <w:rFonts w:ascii="Times New Roman" w:hAnsi="Times New Roman" w:cs="Times New Roman"/>
          <w:lang w:val="en-GB"/>
        </w:rPr>
        <w:t xml:space="preserve">is in response to Canada’s position on the meaning of “acquiescence” in </w:t>
      </w:r>
      <w:r w:rsidR="001D0C83">
        <w:rPr>
          <w:rFonts w:ascii="Times New Roman" w:hAnsi="Times New Roman" w:cs="Times New Roman"/>
          <w:lang w:val="en-GB"/>
        </w:rPr>
        <w:t>a</w:t>
      </w:r>
      <w:r w:rsidRPr="00D34627">
        <w:rPr>
          <w:rFonts w:ascii="Times New Roman" w:hAnsi="Times New Roman" w:cs="Times New Roman"/>
          <w:lang w:val="en-GB"/>
        </w:rPr>
        <w:t xml:space="preserve">rticle </w:t>
      </w:r>
      <w:r w:rsidR="00E56CBC" w:rsidRPr="00D34627">
        <w:rPr>
          <w:rFonts w:ascii="Times New Roman" w:hAnsi="Times New Roman" w:cs="Times New Roman"/>
          <w:lang w:val="en-GB"/>
        </w:rPr>
        <w:t>1</w:t>
      </w:r>
      <w:r w:rsidR="007866F9" w:rsidRPr="00D34627">
        <w:rPr>
          <w:rFonts w:ascii="Times New Roman" w:hAnsi="Times New Roman" w:cs="Times New Roman"/>
          <w:lang w:val="en-GB"/>
        </w:rPr>
        <w:t xml:space="preserve"> of the UN Convention</w:t>
      </w:r>
      <w:r w:rsidRPr="00D34627">
        <w:rPr>
          <w:rFonts w:ascii="Times New Roman" w:hAnsi="Times New Roman" w:cs="Times New Roman"/>
          <w:lang w:val="en-GB"/>
        </w:rPr>
        <w:t xml:space="preserve"> </w:t>
      </w:r>
      <w:r w:rsidR="007866F9" w:rsidRPr="00D34627">
        <w:rPr>
          <w:rFonts w:ascii="Times New Roman" w:hAnsi="Times New Roman" w:cs="Times New Roman"/>
          <w:lang w:val="en-GB"/>
        </w:rPr>
        <w:t>Against Torture</w:t>
      </w:r>
      <w:r w:rsidR="00942290" w:rsidRPr="00D34627">
        <w:rPr>
          <w:rFonts w:ascii="Times New Roman" w:hAnsi="Times New Roman" w:cs="Times New Roman"/>
          <w:lang w:val="en-GB"/>
        </w:rPr>
        <w:t xml:space="preserve"> and Other Cruel, Inhuman or Degrading Treatment or Punishment</w:t>
      </w:r>
      <w:r w:rsidR="00BF2B5F" w:rsidRPr="00D34627">
        <w:rPr>
          <w:rFonts w:ascii="Times New Roman" w:hAnsi="Times New Roman" w:cs="Times New Roman"/>
          <w:lang w:val="en-GB"/>
        </w:rPr>
        <w:t xml:space="preserve"> (“the Convention</w:t>
      </w:r>
      <w:r w:rsidR="00942290" w:rsidRPr="00D34627">
        <w:rPr>
          <w:rFonts w:ascii="Times New Roman" w:hAnsi="Times New Roman" w:cs="Times New Roman"/>
          <w:lang w:val="en-GB"/>
        </w:rPr>
        <w:t xml:space="preserve"> against Torture</w:t>
      </w:r>
      <w:r w:rsidR="00BF2B5F" w:rsidRPr="00D34627">
        <w:rPr>
          <w:rFonts w:ascii="Times New Roman" w:hAnsi="Times New Roman" w:cs="Times New Roman"/>
          <w:lang w:val="en-GB"/>
        </w:rPr>
        <w:t>” or “the Convention”)</w:t>
      </w:r>
      <w:r w:rsidR="007866F9" w:rsidRPr="00D34627">
        <w:rPr>
          <w:rStyle w:val="FootnoteReference"/>
          <w:rFonts w:ascii="Times New Roman" w:hAnsi="Times New Roman" w:cs="Times New Roman"/>
          <w:lang w:val="en-GB"/>
        </w:rPr>
        <w:footnoteReference w:id="1"/>
      </w:r>
      <w:r w:rsidR="007866F9" w:rsidRPr="00D34627">
        <w:rPr>
          <w:rFonts w:ascii="Times New Roman" w:hAnsi="Times New Roman" w:cs="Times New Roman"/>
          <w:lang w:val="en-GB"/>
        </w:rPr>
        <w:t xml:space="preserve"> </w:t>
      </w:r>
      <w:r w:rsidR="0050586B" w:rsidRPr="00D34627">
        <w:rPr>
          <w:rFonts w:ascii="Times New Roman" w:hAnsi="Times New Roman" w:cs="Times New Roman"/>
          <w:lang w:val="en-GB"/>
        </w:rPr>
        <w:t xml:space="preserve">as </w:t>
      </w:r>
      <w:r w:rsidR="00942290" w:rsidRPr="00D34627">
        <w:rPr>
          <w:rFonts w:ascii="Times New Roman" w:hAnsi="Times New Roman" w:cs="Times New Roman"/>
          <w:lang w:val="en-GB"/>
        </w:rPr>
        <w:t xml:space="preserve">expressed </w:t>
      </w:r>
      <w:r w:rsidR="0050586B" w:rsidRPr="00D34627">
        <w:rPr>
          <w:rFonts w:ascii="Times New Roman" w:hAnsi="Times New Roman" w:cs="Times New Roman"/>
          <w:lang w:val="en-GB"/>
        </w:rPr>
        <w:t>in Canada’s</w:t>
      </w:r>
      <w:r w:rsidR="00781681" w:rsidRPr="00D34627">
        <w:rPr>
          <w:rFonts w:ascii="Times New Roman" w:hAnsi="Times New Roman" w:cs="Times New Roman"/>
          <w:lang w:val="en-GB"/>
        </w:rPr>
        <w:t xml:space="preserve"> 2016</w:t>
      </w:r>
      <w:r w:rsidR="0050586B" w:rsidRPr="00D34627">
        <w:rPr>
          <w:rFonts w:ascii="Times New Roman" w:hAnsi="Times New Roman" w:cs="Times New Roman"/>
          <w:lang w:val="en-GB"/>
        </w:rPr>
        <w:t xml:space="preserve"> report to the</w:t>
      </w:r>
      <w:r w:rsidR="00C70D32">
        <w:rPr>
          <w:rFonts w:ascii="Times New Roman" w:hAnsi="Times New Roman" w:cs="Times New Roman"/>
          <w:lang w:val="en-GB"/>
        </w:rPr>
        <w:t xml:space="preserve"> UN</w:t>
      </w:r>
      <w:r w:rsidR="0050586B" w:rsidRPr="00D34627">
        <w:rPr>
          <w:rFonts w:ascii="Times New Roman" w:hAnsi="Times New Roman" w:cs="Times New Roman"/>
          <w:lang w:val="en-GB"/>
        </w:rPr>
        <w:t xml:space="preserve"> Committee</w:t>
      </w:r>
      <w:bookmarkStart w:id="0" w:name="_Ref529858140"/>
      <w:r w:rsidR="00BF2B5F" w:rsidRPr="00D34627">
        <w:rPr>
          <w:rFonts w:ascii="Times New Roman" w:hAnsi="Times New Roman" w:cs="Times New Roman"/>
          <w:lang w:val="en-GB"/>
        </w:rPr>
        <w:t xml:space="preserve"> Against Torture (“the Committee”)</w:t>
      </w:r>
      <w:bookmarkStart w:id="1" w:name="_Ref530427640"/>
      <w:r w:rsidR="00C73C8C" w:rsidRPr="00D34627">
        <w:rPr>
          <w:rStyle w:val="FootnoteReference"/>
          <w:rFonts w:ascii="Times New Roman" w:hAnsi="Times New Roman" w:cs="Times New Roman"/>
          <w:lang w:val="en-GB"/>
        </w:rPr>
        <w:footnoteReference w:id="2"/>
      </w:r>
      <w:bookmarkEnd w:id="0"/>
      <w:bookmarkEnd w:id="1"/>
      <w:r w:rsidR="0050586B" w:rsidRPr="00D34627">
        <w:rPr>
          <w:rFonts w:ascii="Times New Roman" w:hAnsi="Times New Roman" w:cs="Times New Roman"/>
          <w:lang w:val="en-GB"/>
        </w:rPr>
        <w:t xml:space="preserve"> and during a meeting</w:t>
      </w:r>
      <w:r w:rsidR="00873825" w:rsidRPr="00D34627">
        <w:rPr>
          <w:rFonts w:ascii="Times New Roman" w:hAnsi="Times New Roman" w:cs="Times New Roman"/>
          <w:lang w:val="en-GB"/>
        </w:rPr>
        <w:t xml:space="preserve"> between representatives of the Canadian government and civil society</w:t>
      </w:r>
      <w:r w:rsidR="0050586B" w:rsidRPr="00D34627">
        <w:rPr>
          <w:rFonts w:ascii="Times New Roman" w:hAnsi="Times New Roman" w:cs="Times New Roman"/>
          <w:lang w:val="en-GB"/>
        </w:rPr>
        <w:t xml:space="preserve"> on </w:t>
      </w:r>
      <w:r w:rsidR="00781681" w:rsidRPr="00D34627">
        <w:rPr>
          <w:rFonts w:ascii="Times New Roman" w:hAnsi="Times New Roman" w:cs="Times New Roman"/>
          <w:lang w:val="en-GB"/>
        </w:rPr>
        <w:t xml:space="preserve">17 </w:t>
      </w:r>
      <w:r w:rsidR="0050586B" w:rsidRPr="00D34627">
        <w:rPr>
          <w:rFonts w:ascii="Times New Roman" w:hAnsi="Times New Roman" w:cs="Times New Roman"/>
          <w:lang w:val="en-GB"/>
        </w:rPr>
        <w:t>October 2018.</w:t>
      </w:r>
      <w:r w:rsidR="00781681" w:rsidRPr="00D34627">
        <w:rPr>
          <w:rStyle w:val="FootnoteReference"/>
          <w:rFonts w:ascii="Times New Roman" w:hAnsi="Times New Roman" w:cs="Times New Roman"/>
          <w:lang w:val="en-GB"/>
        </w:rPr>
        <w:footnoteReference w:id="3"/>
      </w:r>
      <w:r w:rsidR="0050586B" w:rsidRPr="00D34627">
        <w:rPr>
          <w:rFonts w:ascii="Times New Roman" w:hAnsi="Times New Roman" w:cs="Times New Roman"/>
          <w:lang w:val="en-GB"/>
        </w:rPr>
        <w:t xml:space="preserve"> In particular the submission addresses the government’s objection to </w:t>
      </w:r>
      <w:r w:rsidR="00BF2B5F" w:rsidRPr="00D34627">
        <w:rPr>
          <w:rFonts w:ascii="Times New Roman" w:hAnsi="Times New Roman" w:cs="Times New Roman"/>
          <w:lang w:val="en-GB"/>
        </w:rPr>
        <w:t>the Committee’s</w:t>
      </w:r>
      <w:r w:rsidR="0050586B" w:rsidRPr="00D34627">
        <w:rPr>
          <w:rFonts w:ascii="Times New Roman" w:hAnsi="Times New Roman" w:cs="Times New Roman"/>
          <w:lang w:val="en-GB"/>
        </w:rPr>
        <w:t xml:space="preserve"> position articulated </w:t>
      </w:r>
      <w:r w:rsidRPr="00D34627">
        <w:rPr>
          <w:rFonts w:ascii="Times New Roman" w:hAnsi="Times New Roman" w:cs="Times New Roman"/>
          <w:lang w:val="en-GB"/>
        </w:rPr>
        <w:t xml:space="preserve">in its General Comment </w:t>
      </w:r>
      <w:r w:rsidR="007866F9" w:rsidRPr="00D34627">
        <w:rPr>
          <w:rFonts w:ascii="Times New Roman" w:hAnsi="Times New Roman" w:cs="Times New Roman"/>
          <w:lang w:val="en-GB"/>
        </w:rPr>
        <w:t>No. 2</w:t>
      </w:r>
      <w:bookmarkStart w:id="2" w:name="_Ref530055498"/>
      <w:r w:rsidR="00052473" w:rsidRPr="00D34627">
        <w:rPr>
          <w:rStyle w:val="FootnoteReference"/>
          <w:rFonts w:ascii="Times New Roman" w:hAnsi="Times New Roman" w:cs="Times New Roman"/>
          <w:lang w:val="en-GB"/>
        </w:rPr>
        <w:footnoteReference w:id="4"/>
      </w:r>
      <w:bookmarkEnd w:id="2"/>
      <w:r w:rsidR="00633E75" w:rsidRPr="00D34627">
        <w:rPr>
          <w:rFonts w:ascii="Times New Roman" w:hAnsi="Times New Roman" w:cs="Times New Roman"/>
          <w:lang w:val="en-GB"/>
        </w:rPr>
        <w:t xml:space="preserve"> in the context of the </w:t>
      </w:r>
      <w:r w:rsidR="003C02F7" w:rsidRPr="00D34627">
        <w:rPr>
          <w:rFonts w:ascii="Times New Roman" w:hAnsi="Times New Roman" w:cs="Times New Roman"/>
          <w:lang w:val="en-GB"/>
        </w:rPr>
        <w:t xml:space="preserve">application of </w:t>
      </w:r>
      <w:r w:rsidR="001D0C83">
        <w:rPr>
          <w:rFonts w:ascii="Times New Roman" w:hAnsi="Times New Roman" w:cs="Times New Roman"/>
          <w:lang w:val="en-GB"/>
        </w:rPr>
        <w:t>a</w:t>
      </w:r>
      <w:r w:rsidR="003C02F7" w:rsidRPr="00D34627">
        <w:rPr>
          <w:rFonts w:ascii="Times New Roman" w:hAnsi="Times New Roman" w:cs="Times New Roman"/>
          <w:lang w:val="en-GB"/>
        </w:rPr>
        <w:t xml:space="preserve">rticle 2 </w:t>
      </w:r>
      <w:r w:rsidR="009229BF" w:rsidRPr="00D34627">
        <w:rPr>
          <w:rFonts w:ascii="Times New Roman" w:hAnsi="Times New Roman" w:cs="Times New Roman"/>
          <w:lang w:val="en-GB"/>
        </w:rPr>
        <w:t>in addressing</w:t>
      </w:r>
      <w:r w:rsidR="00633E75" w:rsidRPr="00D34627">
        <w:rPr>
          <w:rFonts w:ascii="Times New Roman" w:hAnsi="Times New Roman" w:cs="Times New Roman"/>
          <w:lang w:val="en-GB"/>
        </w:rPr>
        <w:t xml:space="preserve"> violence against women</w:t>
      </w:r>
      <w:r w:rsidR="002F769C" w:rsidRPr="00D34627">
        <w:rPr>
          <w:rFonts w:ascii="Times New Roman" w:hAnsi="Times New Roman" w:cs="Times New Roman"/>
          <w:lang w:val="en-GB"/>
        </w:rPr>
        <w:t xml:space="preserve"> </w:t>
      </w:r>
      <w:r w:rsidR="00781681" w:rsidRPr="00D34627">
        <w:rPr>
          <w:rFonts w:ascii="Times New Roman" w:hAnsi="Times New Roman" w:cs="Times New Roman"/>
          <w:lang w:val="en-GB"/>
        </w:rPr>
        <w:t>and</w:t>
      </w:r>
      <w:r w:rsidR="009229BF" w:rsidRPr="00D34627">
        <w:rPr>
          <w:rFonts w:ascii="Times New Roman" w:hAnsi="Times New Roman" w:cs="Times New Roman"/>
          <w:lang w:val="en-GB"/>
        </w:rPr>
        <w:t xml:space="preserve"> other</w:t>
      </w:r>
      <w:r w:rsidR="00781681" w:rsidRPr="00D34627">
        <w:rPr>
          <w:rFonts w:ascii="Times New Roman" w:hAnsi="Times New Roman" w:cs="Times New Roman"/>
          <w:lang w:val="en-GB"/>
        </w:rPr>
        <w:t xml:space="preserve"> gender-based violence</w:t>
      </w:r>
      <w:r w:rsidR="009229BF" w:rsidRPr="00D34627">
        <w:rPr>
          <w:rFonts w:ascii="Times New Roman" w:hAnsi="Times New Roman" w:cs="Times New Roman"/>
          <w:lang w:val="en-GB"/>
        </w:rPr>
        <w:t xml:space="preserve"> by non-state actors</w:t>
      </w:r>
      <w:r w:rsidR="00781681" w:rsidRPr="00D34627">
        <w:rPr>
          <w:rFonts w:ascii="Times New Roman" w:hAnsi="Times New Roman" w:cs="Times New Roman"/>
          <w:lang w:val="en-GB"/>
        </w:rPr>
        <w:t>.</w:t>
      </w:r>
    </w:p>
    <w:p w14:paraId="0CEDCF45" w14:textId="70F6E7E6" w:rsidR="00633E75" w:rsidRPr="00D34627" w:rsidRDefault="00633E75" w:rsidP="00C6613D">
      <w:pPr>
        <w:jc w:val="both"/>
        <w:rPr>
          <w:rFonts w:ascii="Times New Roman" w:hAnsi="Times New Roman" w:cs="Times New Roman"/>
          <w:lang w:val="en-GB"/>
        </w:rPr>
      </w:pPr>
    </w:p>
    <w:p w14:paraId="4B2B48E8" w14:textId="7EED290A" w:rsidR="00633E75" w:rsidRPr="00D34627" w:rsidRDefault="00633E75" w:rsidP="00C6613D">
      <w:pPr>
        <w:jc w:val="both"/>
        <w:rPr>
          <w:rFonts w:ascii="Times New Roman" w:hAnsi="Times New Roman" w:cs="Times New Roman"/>
          <w:lang w:val="en-GB"/>
        </w:rPr>
      </w:pPr>
      <w:r w:rsidRPr="00D34627">
        <w:rPr>
          <w:rFonts w:ascii="Times New Roman" w:hAnsi="Times New Roman" w:cs="Times New Roman"/>
          <w:lang w:val="en-GB"/>
        </w:rPr>
        <w:t>Amnesty International Canada (A</w:t>
      </w:r>
      <w:r w:rsidR="00781681" w:rsidRPr="00D34627">
        <w:rPr>
          <w:rFonts w:ascii="Times New Roman" w:hAnsi="Times New Roman" w:cs="Times New Roman"/>
          <w:lang w:val="en-GB"/>
        </w:rPr>
        <w:t>mnesty</w:t>
      </w:r>
      <w:r w:rsidR="00D2613B">
        <w:rPr>
          <w:rFonts w:ascii="Times New Roman" w:hAnsi="Times New Roman" w:cs="Times New Roman"/>
          <w:lang w:val="en-GB"/>
        </w:rPr>
        <w:t xml:space="preserve"> International</w:t>
      </w:r>
      <w:r w:rsidRPr="00D34627">
        <w:rPr>
          <w:rFonts w:ascii="Times New Roman" w:hAnsi="Times New Roman" w:cs="Times New Roman"/>
          <w:lang w:val="en-GB"/>
        </w:rPr>
        <w:t xml:space="preserve">) </w:t>
      </w:r>
      <w:r w:rsidR="00745354" w:rsidRPr="00D34627">
        <w:rPr>
          <w:rFonts w:ascii="Times New Roman" w:hAnsi="Times New Roman" w:cs="Times New Roman"/>
          <w:lang w:val="en-GB"/>
        </w:rPr>
        <w:t xml:space="preserve">is </w:t>
      </w:r>
      <w:r w:rsidR="009229BF" w:rsidRPr="00D34627">
        <w:rPr>
          <w:rFonts w:ascii="Times New Roman" w:hAnsi="Times New Roman" w:cs="Times New Roman"/>
          <w:lang w:val="en-GB"/>
        </w:rPr>
        <w:t xml:space="preserve">in full agreement with the Committee’s </w:t>
      </w:r>
      <w:r w:rsidRPr="00D34627">
        <w:rPr>
          <w:rFonts w:ascii="Times New Roman" w:hAnsi="Times New Roman" w:cs="Times New Roman"/>
          <w:lang w:val="en-GB"/>
        </w:rPr>
        <w:t xml:space="preserve">view that “acquiescence” should be interpreted using the due diligence framework such that </w:t>
      </w:r>
      <w:r w:rsidRPr="00D34627">
        <w:rPr>
          <w:rFonts w:ascii="Times New Roman" w:hAnsi="Times New Roman" w:cs="Times New Roman"/>
          <w:i/>
          <w:lang w:val="en-GB"/>
        </w:rPr>
        <w:t>failure</w:t>
      </w:r>
      <w:r w:rsidRPr="00D34627">
        <w:rPr>
          <w:rFonts w:ascii="Times New Roman" w:hAnsi="Times New Roman" w:cs="Times New Roman"/>
          <w:lang w:val="en-GB"/>
        </w:rPr>
        <w:t xml:space="preserve"> of the </w:t>
      </w:r>
      <w:r w:rsidR="009E5C55" w:rsidRPr="00D34627">
        <w:rPr>
          <w:rFonts w:ascii="Times New Roman" w:hAnsi="Times New Roman" w:cs="Times New Roman"/>
          <w:lang w:val="en-GB"/>
        </w:rPr>
        <w:t>S</w:t>
      </w:r>
      <w:r w:rsidRPr="00D34627">
        <w:rPr>
          <w:rFonts w:ascii="Times New Roman" w:hAnsi="Times New Roman" w:cs="Times New Roman"/>
          <w:lang w:val="en-GB"/>
        </w:rPr>
        <w:t>tate to take measures to prevent</w:t>
      </w:r>
      <w:r w:rsidR="00D577B8" w:rsidRPr="00D34627">
        <w:rPr>
          <w:rFonts w:ascii="Times New Roman" w:hAnsi="Times New Roman" w:cs="Times New Roman"/>
          <w:lang w:val="en-GB"/>
        </w:rPr>
        <w:t xml:space="preserve">, stop, </w:t>
      </w:r>
      <w:r w:rsidR="0066083D">
        <w:rPr>
          <w:rFonts w:ascii="Times New Roman" w:hAnsi="Times New Roman" w:cs="Times New Roman"/>
          <w:lang w:val="en-GB"/>
        </w:rPr>
        <w:t>punish perpetrators</w:t>
      </w:r>
      <w:r w:rsidR="00D577B8" w:rsidRPr="00D34627">
        <w:rPr>
          <w:rFonts w:ascii="Times New Roman" w:hAnsi="Times New Roman" w:cs="Times New Roman"/>
          <w:lang w:val="en-GB"/>
        </w:rPr>
        <w:t xml:space="preserve"> and provide remedies to victims of</w:t>
      </w:r>
      <w:r w:rsidRPr="00D34627">
        <w:rPr>
          <w:rFonts w:ascii="Times New Roman" w:hAnsi="Times New Roman" w:cs="Times New Roman"/>
          <w:lang w:val="en-GB"/>
        </w:rPr>
        <w:t xml:space="preserve"> </w:t>
      </w:r>
      <w:r w:rsidR="00047F9A" w:rsidRPr="00D34627">
        <w:rPr>
          <w:rFonts w:ascii="Times New Roman" w:hAnsi="Times New Roman" w:cs="Times New Roman"/>
          <w:lang w:val="en-GB"/>
        </w:rPr>
        <w:t xml:space="preserve">violence against women </w:t>
      </w:r>
      <w:r w:rsidR="00781681" w:rsidRPr="00D34627">
        <w:rPr>
          <w:rFonts w:ascii="Times New Roman" w:hAnsi="Times New Roman" w:cs="Times New Roman"/>
          <w:lang w:val="en-GB"/>
        </w:rPr>
        <w:t>and</w:t>
      </w:r>
      <w:r w:rsidR="00D577B8" w:rsidRPr="00D34627">
        <w:rPr>
          <w:rFonts w:ascii="Times New Roman" w:hAnsi="Times New Roman" w:cs="Times New Roman"/>
          <w:lang w:val="en-GB"/>
        </w:rPr>
        <w:t xml:space="preserve"> other</w:t>
      </w:r>
      <w:r w:rsidR="00781681" w:rsidRPr="00D34627">
        <w:rPr>
          <w:rFonts w:ascii="Times New Roman" w:hAnsi="Times New Roman" w:cs="Times New Roman"/>
          <w:lang w:val="en-GB"/>
        </w:rPr>
        <w:t xml:space="preserve"> </w:t>
      </w:r>
      <w:r w:rsidR="00047F9A" w:rsidRPr="00D34627">
        <w:rPr>
          <w:rFonts w:ascii="Times New Roman" w:hAnsi="Times New Roman" w:cs="Times New Roman"/>
          <w:lang w:val="en-GB"/>
        </w:rPr>
        <w:t>gender-based violence</w:t>
      </w:r>
      <w:r w:rsidR="00D577B8" w:rsidRPr="00D34627">
        <w:rPr>
          <w:rFonts w:ascii="Times New Roman" w:hAnsi="Times New Roman" w:cs="Times New Roman"/>
          <w:lang w:val="en-GB"/>
        </w:rPr>
        <w:t xml:space="preserve"> by non-state actors</w:t>
      </w:r>
      <w:r w:rsidR="00047F9A" w:rsidRPr="00D34627">
        <w:rPr>
          <w:rFonts w:ascii="Times New Roman" w:hAnsi="Times New Roman" w:cs="Times New Roman"/>
          <w:lang w:val="en-GB"/>
        </w:rPr>
        <w:t xml:space="preserve"> </w:t>
      </w:r>
      <w:r w:rsidR="00C13D2B">
        <w:rPr>
          <w:rFonts w:ascii="Times New Roman" w:hAnsi="Times New Roman" w:cs="Times New Roman"/>
          <w:lang w:val="en-GB"/>
        </w:rPr>
        <w:t>amounts to</w:t>
      </w:r>
      <w:r w:rsidRPr="00D34627">
        <w:rPr>
          <w:rFonts w:ascii="Times New Roman" w:hAnsi="Times New Roman" w:cs="Times New Roman"/>
          <w:lang w:val="en-GB"/>
        </w:rPr>
        <w:t xml:space="preserve"> “</w:t>
      </w:r>
      <w:r w:rsidR="009229BF" w:rsidRPr="00D34627">
        <w:rPr>
          <w:rFonts w:ascii="Times New Roman" w:hAnsi="Times New Roman" w:cs="Times New Roman"/>
          <w:lang w:val="en-GB"/>
        </w:rPr>
        <w:t xml:space="preserve">consent or </w:t>
      </w:r>
      <w:r w:rsidRPr="00D34627">
        <w:rPr>
          <w:rFonts w:ascii="Times New Roman" w:hAnsi="Times New Roman" w:cs="Times New Roman"/>
          <w:lang w:val="en-GB"/>
        </w:rPr>
        <w:t>acquiescence” for the purposes of</w:t>
      </w:r>
      <w:r w:rsidR="009229BF" w:rsidRPr="00D34627">
        <w:rPr>
          <w:rFonts w:ascii="Times New Roman" w:hAnsi="Times New Roman" w:cs="Times New Roman"/>
          <w:lang w:val="en-GB"/>
        </w:rPr>
        <w:t xml:space="preserve"> articles 1 and 16 of</w:t>
      </w:r>
      <w:r w:rsidRPr="00D34627">
        <w:rPr>
          <w:rFonts w:ascii="Times New Roman" w:hAnsi="Times New Roman" w:cs="Times New Roman"/>
          <w:lang w:val="en-GB"/>
        </w:rPr>
        <w:t xml:space="preserve"> the Convention.</w:t>
      </w:r>
    </w:p>
    <w:p w14:paraId="4E1591F2" w14:textId="2C8CE0A2" w:rsidR="00B1446D" w:rsidRPr="00D34627" w:rsidRDefault="00B1446D" w:rsidP="00C6613D">
      <w:pPr>
        <w:jc w:val="both"/>
        <w:rPr>
          <w:rFonts w:ascii="Times New Roman" w:hAnsi="Times New Roman" w:cs="Times New Roman"/>
          <w:lang w:val="en-GB"/>
        </w:rPr>
      </w:pPr>
    </w:p>
    <w:p w14:paraId="33927A06" w14:textId="2E0027BC" w:rsidR="00B1446D" w:rsidRPr="00D34627" w:rsidRDefault="00B1446D" w:rsidP="00B450C8">
      <w:pPr>
        <w:pStyle w:val="Style1"/>
        <w:rPr>
          <w:lang w:val="en-GB"/>
        </w:rPr>
      </w:pPr>
      <w:r w:rsidRPr="00D34627">
        <w:rPr>
          <w:lang w:val="en-GB"/>
        </w:rPr>
        <w:t>Analysis</w:t>
      </w:r>
    </w:p>
    <w:p w14:paraId="22A63475" w14:textId="5D374272" w:rsidR="00633E75" w:rsidRPr="00D34627" w:rsidRDefault="00633E75" w:rsidP="00C6613D">
      <w:pPr>
        <w:jc w:val="both"/>
        <w:rPr>
          <w:rFonts w:ascii="Times New Roman" w:hAnsi="Times New Roman" w:cs="Times New Roman"/>
          <w:lang w:val="en-GB"/>
        </w:rPr>
      </w:pPr>
    </w:p>
    <w:p w14:paraId="2BFCF65E" w14:textId="19026929" w:rsidR="00633E75" w:rsidRPr="00D34627" w:rsidRDefault="00781681" w:rsidP="00597F6B">
      <w:pPr>
        <w:pStyle w:val="Style2"/>
        <w:rPr>
          <w:lang w:val="en-GB"/>
        </w:rPr>
      </w:pPr>
      <w:r w:rsidRPr="00D34627">
        <w:rPr>
          <w:lang w:val="en-GB"/>
        </w:rPr>
        <w:t>Committee Against Torture’s</w:t>
      </w:r>
      <w:r w:rsidR="00633E75" w:rsidRPr="00D34627">
        <w:rPr>
          <w:lang w:val="en-GB"/>
        </w:rPr>
        <w:t xml:space="preserve"> </w:t>
      </w:r>
      <w:r w:rsidR="00FD0FB4" w:rsidRPr="00D34627">
        <w:rPr>
          <w:lang w:val="en-GB"/>
        </w:rPr>
        <w:t xml:space="preserve">position and guidance in </w:t>
      </w:r>
      <w:r w:rsidR="00D34627" w:rsidRPr="00D34627">
        <w:rPr>
          <w:lang w:val="en-GB"/>
        </w:rPr>
        <w:t xml:space="preserve">its </w:t>
      </w:r>
      <w:r w:rsidR="00FD0FB4" w:rsidRPr="00D34627">
        <w:rPr>
          <w:lang w:val="en-GB"/>
        </w:rPr>
        <w:t>General Comment</w:t>
      </w:r>
    </w:p>
    <w:p w14:paraId="2B73252A" w14:textId="77777777" w:rsidR="00E87589" w:rsidRPr="00D34627" w:rsidRDefault="00E87589" w:rsidP="00C6613D">
      <w:pPr>
        <w:jc w:val="both"/>
        <w:rPr>
          <w:rFonts w:ascii="Times New Roman" w:hAnsi="Times New Roman" w:cs="Times New Roman"/>
          <w:lang w:val="en-GB"/>
        </w:rPr>
      </w:pPr>
    </w:p>
    <w:p w14:paraId="7E8C0620" w14:textId="5FCBC3F4" w:rsidR="00056CB6" w:rsidRPr="00D34627" w:rsidRDefault="00633E75" w:rsidP="00C6613D">
      <w:pPr>
        <w:jc w:val="both"/>
        <w:rPr>
          <w:rFonts w:ascii="Times New Roman" w:hAnsi="Times New Roman" w:cs="Times New Roman"/>
          <w:lang w:val="en-GB"/>
        </w:rPr>
      </w:pPr>
      <w:r w:rsidRPr="00D34627">
        <w:rPr>
          <w:rFonts w:ascii="Times New Roman" w:hAnsi="Times New Roman" w:cs="Times New Roman"/>
          <w:lang w:val="en-GB"/>
        </w:rPr>
        <w:t xml:space="preserve">In its General Comment No. 2, the </w:t>
      </w:r>
      <w:r w:rsidR="002F769C" w:rsidRPr="00D34627">
        <w:rPr>
          <w:rFonts w:ascii="Times New Roman" w:hAnsi="Times New Roman" w:cs="Times New Roman"/>
          <w:lang w:val="en-GB"/>
        </w:rPr>
        <w:t>Committee</w:t>
      </w:r>
      <w:r w:rsidRPr="00D34627">
        <w:rPr>
          <w:rFonts w:ascii="Times New Roman" w:hAnsi="Times New Roman" w:cs="Times New Roman"/>
          <w:lang w:val="en-GB"/>
        </w:rPr>
        <w:t xml:space="preserve"> </w:t>
      </w:r>
      <w:r w:rsidR="0029537B" w:rsidRPr="00D34627">
        <w:rPr>
          <w:rFonts w:ascii="Times New Roman" w:hAnsi="Times New Roman" w:cs="Times New Roman"/>
          <w:lang w:val="en-GB"/>
        </w:rPr>
        <w:t xml:space="preserve">explains the meaning of </w:t>
      </w:r>
      <w:r w:rsidR="001D0C83">
        <w:rPr>
          <w:rFonts w:ascii="Times New Roman" w:hAnsi="Times New Roman" w:cs="Times New Roman"/>
          <w:lang w:val="en-GB"/>
        </w:rPr>
        <w:t>a</w:t>
      </w:r>
      <w:r w:rsidR="0029537B" w:rsidRPr="00D34627">
        <w:rPr>
          <w:rFonts w:ascii="Times New Roman" w:hAnsi="Times New Roman" w:cs="Times New Roman"/>
          <w:lang w:val="en-GB"/>
        </w:rPr>
        <w:t xml:space="preserve">rticle 2 </w:t>
      </w:r>
      <w:r w:rsidR="00781681" w:rsidRPr="00D34627">
        <w:rPr>
          <w:rFonts w:ascii="Times New Roman" w:hAnsi="Times New Roman" w:cs="Times New Roman"/>
          <w:lang w:val="en-GB"/>
        </w:rPr>
        <w:t xml:space="preserve">of the Convention </w:t>
      </w:r>
      <w:r w:rsidR="0029537B" w:rsidRPr="00D34627">
        <w:rPr>
          <w:rFonts w:ascii="Times New Roman" w:hAnsi="Times New Roman" w:cs="Times New Roman"/>
          <w:lang w:val="en-GB"/>
        </w:rPr>
        <w:t xml:space="preserve">in the context of </w:t>
      </w:r>
      <w:r w:rsidR="00032A47" w:rsidRPr="00D34627">
        <w:rPr>
          <w:rFonts w:ascii="Times New Roman" w:hAnsi="Times New Roman" w:cs="Times New Roman"/>
          <w:lang w:val="en-GB"/>
        </w:rPr>
        <w:t>“</w:t>
      </w:r>
      <w:r w:rsidR="00A85BA5">
        <w:rPr>
          <w:rFonts w:ascii="Times New Roman" w:hAnsi="Times New Roman" w:cs="Times New Roman"/>
          <w:lang w:val="en-GB"/>
        </w:rPr>
        <w:t xml:space="preserve">effective </w:t>
      </w:r>
      <w:r w:rsidR="00032A47" w:rsidRPr="00D34627">
        <w:rPr>
          <w:rFonts w:ascii="Times New Roman" w:hAnsi="Times New Roman" w:cs="Times New Roman"/>
          <w:lang w:val="en-GB"/>
        </w:rPr>
        <w:t>measures” States</w:t>
      </w:r>
      <w:r w:rsidR="00D34627" w:rsidRPr="00D34627">
        <w:rPr>
          <w:rFonts w:ascii="Times New Roman" w:hAnsi="Times New Roman" w:cs="Times New Roman"/>
          <w:lang w:val="en-GB"/>
        </w:rPr>
        <w:t xml:space="preserve"> parties</w:t>
      </w:r>
      <w:r w:rsidR="00032A47" w:rsidRPr="00D34627">
        <w:rPr>
          <w:rFonts w:ascii="Times New Roman" w:hAnsi="Times New Roman" w:cs="Times New Roman"/>
          <w:lang w:val="en-GB"/>
        </w:rPr>
        <w:t xml:space="preserve"> </w:t>
      </w:r>
      <w:r w:rsidR="00A85BA5">
        <w:rPr>
          <w:rFonts w:ascii="Times New Roman" w:hAnsi="Times New Roman" w:cs="Times New Roman"/>
          <w:lang w:val="en-GB"/>
        </w:rPr>
        <w:t xml:space="preserve">are </w:t>
      </w:r>
      <w:r w:rsidR="00032A47" w:rsidRPr="00D34627">
        <w:rPr>
          <w:rFonts w:ascii="Times New Roman" w:hAnsi="Times New Roman" w:cs="Times New Roman"/>
          <w:lang w:val="en-GB"/>
        </w:rPr>
        <w:t>to take</w:t>
      </w:r>
      <w:r w:rsidR="00A85BA5">
        <w:rPr>
          <w:rFonts w:ascii="Times New Roman" w:hAnsi="Times New Roman" w:cs="Times New Roman"/>
          <w:lang w:val="en-GB"/>
        </w:rPr>
        <w:t xml:space="preserve"> to give effect to that </w:t>
      </w:r>
      <w:r w:rsidR="001D0C83">
        <w:rPr>
          <w:rFonts w:ascii="Times New Roman" w:hAnsi="Times New Roman" w:cs="Times New Roman"/>
          <w:lang w:val="en-GB"/>
        </w:rPr>
        <w:t>a</w:t>
      </w:r>
      <w:r w:rsidR="00A85BA5">
        <w:rPr>
          <w:rFonts w:ascii="Times New Roman" w:hAnsi="Times New Roman" w:cs="Times New Roman"/>
          <w:lang w:val="en-GB"/>
        </w:rPr>
        <w:t>rticle</w:t>
      </w:r>
      <w:r w:rsidR="00032A47" w:rsidRPr="00D34627">
        <w:rPr>
          <w:rFonts w:ascii="Times New Roman" w:hAnsi="Times New Roman" w:cs="Times New Roman"/>
          <w:lang w:val="en-GB"/>
        </w:rPr>
        <w:t>.</w:t>
      </w:r>
      <w:r w:rsidR="008F5601" w:rsidRPr="00D34627">
        <w:rPr>
          <w:rStyle w:val="FootnoteReference"/>
          <w:rFonts w:ascii="Times New Roman" w:hAnsi="Times New Roman" w:cs="Times New Roman"/>
          <w:lang w:val="en-GB"/>
        </w:rPr>
        <w:footnoteReference w:id="5"/>
      </w:r>
      <w:r w:rsidR="00032A47" w:rsidRPr="00D34627">
        <w:rPr>
          <w:rFonts w:ascii="Times New Roman" w:hAnsi="Times New Roman" w:cs="Times New Roman"/>
          <w:lang w:val="en-GB"/>
        </w:rPr>
        <w:t xml:space="preserve"> </w:t>
      </w:r>
      <w:r w:rsidR="00A94EEB">
        <w:rPr>
          <w:rFonts w:ascii="Times New Roman" w:hAnsi="Times New Roman" w:cs="Times New Roman"/>
          <w:lang w:val="en-GB"/>
        </w:rPr>
        <w:t>In doing so, t</w:t>
      </w:r>
      <w:r w:rsidR="00781681" w:rsidRPr="00D34627">
        <w:rPr>
          <w:rFonts w:ascii="Times New Roman" w:hAnsi="Times New Roman" w:cs="Times New Roman"/>
          <w:lang w:val="en-GB"/>
        </w:rPr>
        <w:t xml:space="preserve">he Committee </w:t>
      </w:r>
      <w:r w:rsidR="00056CB6" w:rsidRPr="00D34627">
        <w:rPr>
          <w:rFonts w:ascii="Times New Roman" w:hAnsi="Times New Roman" w:cs="Times New Roman"/>
          <w:lang w:val="en-GB"/>
        </w:rPr>
        <w:t>endorse</w:t>
      </w:r>
      <w:r w:rsidR="008F5601" w:rsidRPr="00D34627">
        <w:rPr>
          <w:rFonts w:ascii="Times New Roman" w:hAnsi="Times New Roman" w:cs="Times New Roman"/>
          <w:lang w:val="en-GB"/>
        </w:rPr>
        <w:t>s</w:t>
      </w:r>
      <w:r w:rsidR="00056CB6" w:rsidRPr="00D34627">
        <w:rPr>
          <w:rFonts w:ascii="Times New Roman" w:hAnsi="Times New Roman" w:cs="Times New Roman"/>
          <w:lang w:val="en-GB"/>
        </w:rPr>
        <w:t xml:space="preserve"> the due diligence framework to</w:t>
      </w:r>
      <w:r w:rsidR="0066083D">
        <w:rPr>
          <w:rFonts w:ascii="Times New Roman" w:hAnsi="Times New Roman" w:cs="Times New Roman"/>
          <w:lang w:val="en-GB"/>
        </w:rPr>
        <w:t xml:space="preserve"> establish</w:t>
      </w:r>
      <w:r w:rsidR="00056CB6" w:rsidRPr="00D34627">
        <w:rPr>
          <w:rFonts w:ascii="Times New Roman" w:hAnsi="Times New Roman" w:cs="Times New Roman"/>
          <w:lang w:val="en-GB"/>
        </w:rPr>
        <w:t xml:space="preserve"> </w:t>
      </w:r>
      <w:r w:rsidR="00D34627">
        <w:rPr>
          <w:rFonts w:ascii="Times New Roman" w:hAnsi="Times New Roman" w:cs="Times New Roman"/>
          <w:lang w:val="en-GB"/>
        </w:rPr>
        <w:t xml:space="preserve"> responsibility</w:t>
      </w:r>
      <w:r w:rsidR="00E309C7" w:rsidRPr="00E309C7">
        <w:rPr>
          <w:rFonts w:ascii="Times New Roman" w:hAnsi="Times New Roman" w:cs="Times New Roman"/>
          <w:lang w:val="en-GB"/>
        </w:rPr>
        <w:t xml:space="preserve"> </w:t>
      </w:r>
      <w:r w:rsidR="00E309C7" w:rsidRPr="00D34627">
        <w:rPr>
          <w:rFonts w:ascii="Times New Roman" w:hAnsi="Times New Roman" w:cs="Times New Roman"/>
          <w:lang w:val="en-GB"/>
        </w:rPr>
        <w:t>under the Convention</w:t>
      </w:r>
      <w:r w:rsidR="0066083D">
        <w:rPr>
          <w:rFonts w:ascii="Times New Roman" w:hAnsi="Times New Roman" w:cs="Times New Roman"/>
          <w:lang w:val="en-GB"/>
        </w:rPr>
        <w:t xml:space="preserve">, and in particular </w:t>
      </w:r>
      <w:r w:rsidR="00E309C7">
        <w:rPr>
          <w:rFonts w:ascii="Times New Roman" w:hAnsi="Times New Roman" w:cs="Times New Roman"/>
          <w:lang w:val="en-GB"/>
        </w:rPr>
        <w:t xml:space="preserve">responsibility incurred through </w:t>
      </w:r>
      <w:r w:rsidR="0066083D">
        <w:rPr>
          <w:rFonts w:ascii="Times New Roman" w:hAnsi="Times New Roman" w:cs="Times New Roman"/>
          <w:lang w:val="en-GB"/>
        </w:rPr>
        <w:t>consent or acquiescence,</w:t>
      </w:r>
      <w:r w:rsidR="00D34627">
        <w:rPr>
          <w:rFonts w:ascii="Times New Roman" w:hAnsi="Times New Roman" w:cs="Times New Roman"/>
          <w:lang w:val="en-GB"/>
        </w:rPr>
        <w:t xml:space="preserve"> </w:t>
      </w:r>
      <w:r w:rsidR="00056CB6" w:rsidRPr="00D34627">
        <w:rPr>
          <w:rFonts w:ascii="Times New Roman" w:hAnsi="Times New Roman" w:cs="Times New Roman"/>
          <w:lang w:val="en-GB"/>
        </w:rPr>
        <w:t>when acts of torture or</w:t>
      </w:r>
      <w:r w:rsidR="00116C2A" w:rsidRPr="00D34627">
        <w:rPr>
          <w:rFonts w:ascii="Times New Roman" w:hAnsi="Times New Roman" w:cs="Times New Roman"/>
          <w:lang w:val="en-GB"/>
        </w:rPr>
        <w:t xml:space="preserve"> other cruel, inhuman or degrading treatment or punishment (other</w:t>
      </w:r>
      <w:r w:rsidR="00056CB6" w:rsidRPr="00D34627">
        <w:rPr>
          <w:rFonts w:ascii="Times New Roman" w:hAnsi="Times New Roman" w:cs="Times New Roman"/>
          <w:lang w:val="en-GB"/>
        </w:rPr>
        <w:t xml:space="preserve"> ill-treatment</w:t>
      </w:r>
      <w:r w:rsidR="00116C2A" w:rsidRPr="00D34627">
        <w:rPr>
          <w:rFonts w:ascii="Times New Roman" w:hAnsi="Times New Roman" w:cs="Times New Roman"/>
          <w:lang w:val="en-GB"/>
        </w:rPr>
        <w:t>)</w:t>
      </w:r>
      <w:r w:rsidR="00056CB6" w:rsidRPr="00D34627">
        <w:rPr>
          <w:rFonts w:ascii="Times New Roman" w:hAnsi="Times New Roman" w:cs="Times New Roman"/>
          <w:lang w:val="en-GB"/>
        </w:rPr>
        <w:t xml:space="preserve"> are committed by non-</w:t>
      </w:r>
      <w:r w:rsidR="00386AD4">
        <w:rPr>
          <w:rFonts w:ascii="Times New Roman" w:hAnsi="Times New Roman" w:cs="Times New Roman"/>
          <w:lang w:val="en-GB"/>
        </w:rPr>
        <w:t>s</w:t>
      </w:r>
      <w:r w:rsidR="00056CB6" w:rsidRPr="00D34627">
        <w:rPr>
          <w:rFonts w:ascii="Times New Roman" w:hAnsi="Times New Roman" w:cs="Times New Roman"/>
          <w:lang w:val="en-GB"/>
        </w:rPr>
        <w:t xml:space="preserve">tate actors. </w:t>
      </w:r>
    </w:p>
    <w:p w14:paraId="3336AA86" w14:textId="77777777" w:rsidR="008F5601" w:rsidRPr="00D34627" w:rsidRDefault="008F5601" w:rsidP="00C6613D">
      <w:pPr>
        <w:jc w:val="both"/>
        <w:rPr>
          <w:rFonts w:ascii="Times New Roman" w:hAnsi="Times New Roman" w:cs="Times New Roman"/>
          <w:lang w:val="en-GB"/>
        </w:rPr>
      </w:pPr>
    </w:p>
    <w:p w14:paraId="246D2AD0" w14:textId="0B03CFA8" w:rsidR="00C8039B" w:rsidRPr="00D34627" w:rsidRDefault="00032A47" w:rsidP="007E5DA0">
      <w:pPr>
        <w:jc w:val="both"/>
        <w:rPr>
          <w:rFonts w:ascii="Times New Roman" w:hAnsi="Times New Roman" w:cs="Times New Roman"/>
          <w:lang w:val="en-GB"/>
        </w:rPr>
      </w:pPr>
      <w:r w:rsidRPr="00D34627">
        <w:rPr>
          <w:rFonts w:ascii="Times New Roman" w:hAnsi="Times New Roman" w:cs="Times New Roman"/>
          <w:lang w:val="en-GB"/>
        </w:rPr>
        <w:t xml:space="preserve">The Committee </w:t>
      </w:r>
      <w:r w:rsidR="007E5DA0">
        <w:rPr>
          <w:rFonts w:ascii="Times New Roman" w:hAnsi="Times New Roman" w:cs="Times New Roman"/>
          <w:lang w:val="en-GB"/>
        </w:rPr>
        <w:t>states</w:t>
      </w:r>
      <w:r w:rsidR="007E5DA0" w:rsidRPr="00D34627">
        <w:rPr>
          <w:rFonts w:ascii="Times New Roman" w:hAnsi="Times New Roman" w:cs="Times New Roman"/>
          <w:lang w:val="en-GB"/>
        </w:rPr>
        <w:t xml:space="preserve"> </w:t>
      </w:r>
      <w:r w:rsidRPr="00D34627">
        <w:rPr>
          <w:rFonts w:ascii="Times New Roman" w:hAnsi="Times New Roman" w:cs="Times New Roman"/>
          <w:lang w:val="en-GB"/>
        </w:rPr>
        <w:t xml:space="preserve">that “States parties should adopt effective measures to prevent </w:t>
      </w:r>
      <w:r w:rsidR="00810FC4" w:rsidRPr="00D34627">
        <w:rPr>
          <w:rFonts w:ascii="Times New Roman" w:hAnsi="Times New Roman" w:cs="Times New Roman"/>
          <w:lang w:val="en-GB"/>
        </w:rPr>
        <w:t>public</w:t>
      </w:r>
      <w:r w:rsidRPr="00D34627">
        <w:rPr>
          <w:rFonts w:ascii="Times New Roman" w:hAnsi="Times New Roman" w:cs="Times New Roman"/>
          <w:lang w:val="en-GB"/>
        </w:rPr>
        <w:t xml:space="preserve"> authorities or others acting in an official capacity or under colour of law, from consenting to or acquiescing in any acts of torture</w:t>
      </w:r>
      <w:r w:rsidR="00056CB6" w:rsidRPr="00D34627">
        <w:rPr>
          <w:rFonts w:ascii="Times New Roman" w:hAnsi="Times New Roman" w:cs="Times New Roman"/>
          <w:lang w:val="en-GB"/>
        </w:rPr>
        <w:t>.</w:t>
      </w:r>
      <w:r w:rsidRPr="00D34627">
        <w:rPr>
          <w:rFonts w:ascii="Times New Roman" w:hAnsi="Times New Roman" w:cs="Times New Roman"/>
          <w:lang w:val="en-GB"/>
        </w:rPr>
        <w:t>”</w:t>
      </w:r>
      <w:r w:rsidRPr="00D34627">
        <w:rPr>
          <w:rStyle w:val="FootnoteReference"/>
          <w:rFonts w:ascii="Times New Roman" w:hAnsi="Times New Roman" w:cs="Times New Roman"/>
          <w:lang w:val="en-GB"/>
        </w:rPr>
        <w:footnoteReference w:id="6"/>
      </w:r>
      <w:r w:rsidR="008F5601" w:rsidRPr="00D34627">
        <w:rPr>
          <w:rFonts w:ascii="Times New Roman" w:hAnsi="Times New Roman" w:cs="Times New Roman"/>
          <w:lang w:val="en-GB"/>
        </w:rPr>
        <w:t xml:space="preserve"> </w:t>
      </w:r>
    </w:p>
    <w:p w14:paraId="08319E62" w14:textId="77777777" w:rsidR="00C8039B" w:rsidRPr="00D34627" w:rsidRDefault="00C8039B" w:rsidP="00C6613D">
      <w:pPr>
        <w:jc w:val="both"/>
        <w:rPr>
          <w:rFonts w:ascii="Times New Roman" w:hAnsi="Times New Roman" w:cs="Times New Roman"/>
          <w:lang w:val="en-GB"/>
        </w:rPr>
      </w:pPr>
    </w:p>
    <w:p w14:paraId="1A02CF7F" w14:textId="26883A99" w:rsidR="00A73648" w:rsidRDefault="008F5601" w:rsidP="007E5DA0">
      <w:pPr>
        <w:jc w:val="both"/>
        <w:rPr>
          <w:rFonts w:ascii="Times New Roman" w:hAnsi="Times New Roman" w:cs="Times New Roman"/>
          <w:lang w:val="en-GB"/>
        </w:rPr>
      </w:pPr>
      <w:r w:rsidRPr="00D34627">
        <w:rPr>
          <w:rFonts w:ascii="Times New Roman" w:hAnsi="Times New Roman" w:cs="Times New Roman"/>
          <w:lang w:val="en-GB"/>
        </w:rPr>
        <w:lastRenderedPageBreak/>
        <w:t xml:space="preserve">The Committee </w:t>
      </w:r>
      <w:r w:rsidR="007E5DA0">
        <w:rPr>
          <w:rFonts w:ascii="Times New Roman" w:hAnsi="Times New Roman" w:cs="Times New Roman"/>
          <w:lang w:val="en-GB"/>
        </w:rPr>
        <w:t>explains</w:t>
      </w:r>
      <w:r w:rsidR="007E5DA0" w:rsidRPr="00D34627">
        <w:rPr>
          <w:rFonts w:ascii="Times New Roman" w:hAnsi="Times New Roman" w:cs="Times New Roman"/>
          <w:lang w:val="en-GB"/>
        </w:rPr>
        <w:t xml:space="preserve"> </w:t>
      </w:r>
      <w:r w:rsidRPr="00D34627">
        <w:rPr>
          <w:rFonts w:ascii="Times New Roman" w:hAnsi="Times New Roman" w:cs="Times New Roman"/>
          <w:lang w:val="en-GB"/>
        </w:rPr>
        <w:t xml:space="preserve">that it is not necessary for officials to have knowledge of acts of torture being committed for </w:t>
      </w:r>
      <w:r w:rsidR="007E5DA0">
        <w:rPr>
          <w:rFonts w:ascii="Times New Roman" w:hAnsi="Times New Roman" w:cs="Times New Roman"/>
          <w:lang w:val="en-GB"/>
        </w:rPr>
        <w:t>state responsibility</w:t>
      </w:r>
      <w:r w:rsidR="007E5DA0" w:rsidRPr="00D34627">
        <w:rPr>
          <w:rFonts w:ascii="Times New Roman" w:hAnsi="Times New Roman" w:cs="Times New Roman"/>
          <w:lang w:val="en-GB"/>
        </w:rPr>
        <w:t xml:space="preserve"> </w:t>
      </w:r>
      <w:r w:rsidRPr="00D34627">
        <w:rPr>
          <w:rFonts w:ascii="Times New Roman" w:hAnsi="Times New Roman" w:cs="Times New Roman"/>
          <w:lang w:val="en-GB"/>
        </w:rPr>
        <w:t>to arise from</w:t>
      </w:r>
      <w:r w:rsidR="007E5DA0">
        <w:rPr>
          <w:rFonts w:ascii="Times New Roman" w:hAnsi="Times New Roman" w:cs="Times New Roman"/>
          <w:lang w:val="en-GB"/>
        </w:rPr>
        <w:t xml:space="preserve"> its</w:t>
      </w:r>
      <w:r w:rsidRPr="00D34627">
        <w:rPr>
          <w:rFonts w:ascii="Times New Roman" w:hAnsi="Times New Roman" w:cs="Times New Roman"/>
          <w:lang w:val="en-GB"/>
        </w:rPr>
        <w:t xml:space="preserve"> failure to prevent the act from taking place. It is sufficient if an official has “reasonable grounds to believe that acts of torture or ill-treatment are being committed by non-</w:t>
      </w:r>
      <w:r w:rsidR="00386AD4">
        <w:rPr>
          <w:rFonts w:ascii="Times New Roman" w:hAnsi="Times New Roman" w:cs="Times New Roman"/>
          <w:lang w:val="en-GB"/>
        </w:rPr>
        <w:t>s</w:t>
      </w:r>
      <w:r w:rsidRPr="00D34627">
        <w:rPr>
          <w:rFonts w:ascii="Times New Roman" w:hAnsi="Times New Roman" w:cs="Times New Roman"/>
          <w:lang w:val="en-GB"/>
        </w:rPr>
        <w:t xml:space="preserve">tate officials or private actors and they </w:t>
      </w:r>
      <w:r w:rsidRPr="00E25312">
        <w:rPr>
          <w:rFonts w:ascii="Times New Roman" w:hAnsi="Times New Roman" w:cs="Times New Roman"/>
          <w:i/>
          <w:lang w:val="en-GB"/>
        </w:rPr>
        <w:t>fail to exercise due diligence</w:t>
      </w:r>
      <w:r w:rsidRPr="00D34627">
        <w:rPr>
          <w:rFonts w:ascii="Times New Roman" w:hAnsi="Times New Roman" w:cs="Times New Roman"/>
          <w:lang w:val="en-GB"/>
        </w:rPr>
        <w:t xml:space="preserve"> to prevent, investigate, prosecute and punish </w:t>
      </w:r>
      <w:r w:rsidR="000F4B69" w:rsidRPr="00D34627">
        <w:rPr>
          <w:rFonts w:ascii="Times New Roman" w:hAnsi="Times New Roman" w:cs="Times New Roman"/>
          <w:lang w:val="en-GB"/>
        </w:rPr>
        <w:t>such non-</w:t>
      </w:r>
      <w:r w:rsidR="00386AD4">
        <w:rPr>
          <w:rFonts w:ascii="Times New Roman" w:hAnsi="Times New Roman" w:cs="Times New Roman"/>
          <w:lang w:val="en-GB"/>
        </w:rPr>
        <w:t>s</w:t>
      </w:r>
      <w:r w:rsidR="000F4B69" w:rsidRPr="00D34627">
        <w:rPr>
          <w:rFonts w:ascii="Times New Roman" w:hAnsi="Times New Roman" w:cs="Times New Roman"/>
          <w:lang w:val="en-GB"/>
        </w:rPr>
        <w:t>tate officials or private actors consistently with the Convention</w:t>
      </w:r>
      <w:r w:rsidR="00BF2B5F" w:rsidRPr="00D34627">
        <w:rPr>
          <w:rFonts w:ascii="Times New Roman" w:hAnsi="Times New Roman" w:cs="Times New Roman"/>
          <w:lang w:val="en-GB"/>
        </w:rPr>
        <w:t xml:space="preserve"> [emphasis added]</w:t>
      </w:r>
      <w:r w:rsidR="000F4B69" w:rsidRPr="00D34627">
        <w:rPr>
          <w:rFonts w:ascii="Times New Roman" w:hAnsi="Times New Roman" w:cs="Times New Roman"/>
          <w:lang w:val="en-GB"/>
        </w:rPr>
        <w:t>” for the State to bear responsibility and for its officials to be considered authors of the offending acts, or “complicit or otherwise responsible under the Convention for consenting to or acquiescing in such impermissible acts.”</w:t>
      </w:r>
      <w:r w:rsidR="00C8039B" w:rsidRPr="00D34627">
        <w:rPr>
          <w:rStyle w:val="FootnoteReference"/>
          <w:rFonts w:ascii="Times New Roman" w:hAnsi="Times New Roman" w:cs="Times New Roman"/>
          <w:lang w:val="en-GB"/>
        </w:rPr>
        <w:footnoteReference w:id="7"/>
      </w:r>
      <w:r w:rsidRPr="00D34627">
        <w:rPr>
          <w:rFonts w:ascii="Times New Roman" w:hAnsi="Times New Roman" w:cs="Times New Roman"/>
          <w:lang w:val="en-GB"/>
        </w:rPr>
        <w:t xml:space="preserve"> </w:t>
      </w:r>
    </w:p>
    <w:p w14:paraId="20FAAC5C" w14:textId="77777777" w:rsidR="002F59DB" w:rsidRDefault="002F59DB" w:rsidP="007E5DA0">
      <w:pPr>
        <w:jc w:val="both"/>
        <w:rPr>
          <w:rFonts w:ascii="Times New Roman" w:hAnsi="Times New Roman" w:cs="Times New Roman"/>
          <w:lang w:val="en-GB"/>
        </w:rPr>
      </w:pPr>
    </w:p>
    <w:p w14:paraId="78DF0B62" w14:textId="0A0F4AD7" w:rsidR="00A73648" w:rsidRDefault="00A73648" w:rsidP="007E5DA0">
      <w:pPr>
        <w:jc w:val="both"/>
        <w:rPr>
          <w:rFonts w:ascii="Times New Roman" w:hAnsi="Times New Roman" w:cs="Times New Roman"/>
          <w:lang w:val="en-GB"/>
        </w:rPr>
      </w:pPr>
      <w:r>
        <w:rPr>
          <w:rFonts w:ascii="Times New Roman" w:hAnsi="Times New Roman" w:cs="Times New Roman"/>
          <w:lang w:val="en-GB"/>
        </w:rPr>
        <w:t>As a member of the Committee, both at the time the General Comment was adopted</w:t>
      </w:r>
      <w:r w:rsidR="002F59DB">
        <w:rPr>
          <w:rFonts w:ascii="Times New Roman" w:hAnsi="Times New Roman" w:cs="Times New Roman"/>
          <w:lang w:val="en-GB"/>
        </w:rPr>
        <w:t>,</w:t>
      </w:r>
      <w:r>
        <w:rPr>
          <w:rFonts w:ascii="Times New Roman" w:hAnsi="Times New Roman" w:cs="Times New Roman"/>
          <w:lang w:val="en-GB"/>
        </w:rPr>
        <w:t xml:space="preserve"> and currently, explained</w:t>
      </w:r>
      <w:r w:rsidR="002F59DB">
        <w:rPr>
          <w:rFonts w:ascii="Times New Roman" w:hAnsi="Times New Roman" w:cs="Times New Roman"/>
          <w:lang w:val="en-GB"/>
        </w:rPr>
        <w:t>:</w:t>
      </w:r>
    </w:p>
    <w:p w14:paraId="1FC49D0C" w14:textId="77777777" w:rsidR="00A73648" w:rsidRDefault="00A73648" w:rsidP="007E5DA0">
      <w:pPr>
        <w:jc w:val="both"/>
        <w:rPr>
          <w:rFonts w:ascii="Times New Roman" w:hAnsi="Times New Roman" w:cs="Times New Roman"/>
          <w:lang w:val="en-GB"/>
        </w:rPr>
      </w:pPr>
    </w:p>
    <w:p w14:paraId="56D79A45" w14:textId="19AFF434" w:rsidR="00A73648" w:rsidRDefault="00A73648" w:rsidP="00A73648">
      <w:pPr>
        <w:ind w:left="720"/>
        <w:jc w:val="both"/>
        <w:rPr>
          <w:rFonts w:ascii="Times New Roman" w:hAnsi="Times New Roman" w:cs="Times New Roman"/>
        </w:rPr>
      </w:pPr>
      <w:r w:rsidRPr="00A73648">
        <w:rPr>
          <w:rFonts w:ascii="Times New Roman" w:hAnsi="Times New Roman" w:cs="Times New Roman"/>
        </w:rPr>
        <w:t>The Comment’s explicit use of the conc</w:t>
      </w:r>
      <w:r>
        <w:rPr>
          <w:rFonts w:ascii="Times New Roman" w:hAnsi="Times New Roman" w:cs="Times New Roman"/>
        </w:rPr>
        <w:t>ept of due diligence to explain</w:t>
      </w:r>
      <w:r w:rsidRPr="00A73648">
        <w:rPr>
          <w:rFonts w:ascii="Times New Roman" w:hAnsi="Times New Roman" w:cs="Times New Roman"/>
        </w:rPr>
        <w:t> this kind of acquiescence has thus opened the Committee’s eyes to examine issues of private violence and public responses, looking sometimes “through women’s eyes”.</w:t>
      </w:r>
      <w:r>
        <w:rPr>
          <w:rStyle w:val="FootnoteReference"/>
          <w:rFonts w:ascii="Times New Roman" w:hAnsi="Times New Roman" w:cs="Times New Roman"/>
        </w:rPr>
        <w:footnoteReference w:id="8"/>
      </w:r>
    </w:p>
    <w:p w14:paraId="0E381F5F" w14:textId="77777777" w:rsidR="009311E0" w:rsidRPr="00D34627" w:rsidRDefault="009311E0" w:rsidP="00A73648">
      <w:pPr>
        <w:ind w:left="720"/>
        <w:jc w:val="both"/>
        <w:rPr>
          <w:rFonts w:ascii="Times New Roman" w:hAnsi="Times New Roman" w:cs="Times New Roman"/>
          <w:lang w:val="en-GB"/>
        </w:rPr>
      </w:pPr>
    </w:p>
    <w:p w14:paraId="7E49C9F2" w14:textId="3AAF8E47" w:rsidR="00462700" w:rsidRPr="00D34627" w:rsidRDefault="00DD774E" w:rsidP="00A73648">
      <w:pPr>
        <w:jc w:val="both"/>
        <w:rPr>
          <w:rFonts w:ascii="Times New Roman" w:hAnsi="Times New Roman" w:cs="Times New Roman"/>
          <w:lang w:val="en-GB"/>
        </w:rPr>
      </w:pPr>
      <w:r>
        <w:rPr>
          <w:rFonts w:ascii="Times New Roman" w:hAnsi="Times New Roman" w:cs="Times New Roman"/>
          <w:lang w:val="en-GB"/>
        </w:rPr>
        <w:t>T</w:t>
      </w:r>
      <w:r w:rsidR="007F0896" w:rsidRPr="00D34627">
        <w:rPr>
          <w:rFonts w:ascii="Times New Roman" w:hAnsi="Times New Roman" w:cs="Times New Roman"/>
          <w:lang w:val="en-GB"/>
        </w:rPr>
        <w:t>he Committee</w:t>
      </w:r>
      <w:r w:rsidR="004C14D3">
        <w:rPr>
          <w:rFonts w:ascii="Times New Roman" w:hAnsi="Times New Roman" w:cs="Times New Roman"/>
          <w:lang w:val="en-GB"/>
        </w:rPr>
        <w:t xml:space="preserve"> explicitly considers</w:t>
      </w:r>
      <w:r w:rsidR="007F0896" w:rsidRPr="00D34627">
        <w:rPr>
          <w:rFonts w:ascii="Times New Roman" w:hAnsi="Times New Roman" w:cs="Times New Roman"/>
          <w:lang w:val="en-GB"/>
        </w:rPr>
        <w:t xml:space="preserve"> this interpretation of the Convention </w:t>
      </w:r>
      <w:r w:rsidR="00DF2C57" w:rsidRPr="00D34627">
        <w:rPr>
          <w:rFonts w:ascii="Times New Roman" w:hAnsi="Times New Roman" w:cs="Times New Roman"/>
          <w:lang w:val="en-GB"/>
        </w:rPr>
        <w:t xml:space="preserve">as applicable </w:t>
      </w:r>
      <w:r w:rsidR="007F0896" w:rsidRPr="00D34627">
        <w:rPr>
          <w:rFonts w:ascii="Times New Roman" w:hAnsi="Times New Roman" w:cs="Times New Roman"/>
          <w:lang w:val="en-GB"/>
        </w:rPr>
        <w:t xml:space="preserve">to </w:t>
      </w:r>
      <w:r w:rsidR="007721F6" w:rsidRPr="00D34627">
        <w:rPr>
          <w:rFonts w:ascii="Times New Roman" w:hAnsi="Times New Roman" w:cs="Times New Roman"/>
          <w:lang w:val="en-GB"/>
        </w:rPr>
        <w:t xml:space="preserve">State responsibility for </w:t>
      </w:r>
      <w:r w:rsidR="00781681" w:rsidRPr="00D34627">
        <w:rPr>
          <w:rFonts w:ascii="Times New Roman" w:hAnsi="Times New Roman" w:cs="Times New Roman"/>
          <w:lang w:val="en-GB"/>
        </w:rPr>
        <w:t>violence against women and</w:t>
      </w:r>
      <w:r w:rsidR="004C14D3">
        <w:rPr>
          <w:rFonts w:ascii="Times New Roman" w:hAnsi="Times New Roman" w:cs="Times New Roman"/>
          <w:lang w:val="en-GB"/>
        </w:rPr>
        <w:t xml:space="preserve"> other</w:t>
      </w:r>
      <w:r w:rsidR="00781681" w:rsidRPr="00D34627">
        <w:rPr>
          <w:rFonts w:ascii="Times New Roman" w:hAnsi="Times New Roman" w:cs="Times New Roman"/>
          <w:lang w:val="en-GB"/>
        </w:rPr>
        <w:t xml:space="preserve"> </w:t>
      </w:r>
      <w:r w:rsidR="007F0896" w:rsidRPr="00D34627">
        <w:rPr>
          <w:rFonts w:ascii="Times New Roman" w:hAnsi="Times New Roman" w:cs="Times New Roman"/>
          <w:lang w:val="en-GB"/>
        </w:rPr>
        <w:t>gender-based violence</w:t>
      </w:r>
      <w:r w:rsidR="004C14D3">
        <w:rPr>
          <w:rFonts w:ascii="Times New Roman" w:hAnsi="Times New Roman" w:cs="Times New Roman"/>
          <w:lang w:val="en-GB"/>
        </w:rPr>
        <w:t xml:space="preserve"> by non-state actors</w:t>
      </w:r>
      <w:r w:rsidR="007F0896" w:rsidRPr="00D34627">
        <w:rPr>
          <w:rFonts w:ascii="Times New Roman" w:hAnsi="Times New Roman" w:cs="Times New Roman"/>
          <w:lang w:val="en-GB"/>
        </w:rPr>
        <w:t>.</w:t>
      </w:r>
      <w:r w:rsidR="00B156F0" w:rsidRPr="00D34627">
        <w:rPr>
          <w:rStyle w:val="FootnoteReference"/>
          <w:rFonts w:ascii="Times New Roman" w:hAnsi="Times New Roman" w:cs="Times New Roman"/>
          <w:lang w:val="en-GB"/>
        </w:rPr>
        <w:footnoteReference w:id="9"/>
      </w:r>
    </w:p>
    <w:p w14:paraId="243F8939" w14:textId="34800608" w:rsidR="006B1D2F" w:rsidRPr="00D34627" w:rsidRDefault="006B1D2F" w:rsidP="00C6613D">
      <w:pPr>
        <w:jc w:val="both"/>
        <w:rPr>
          <w:rFonts w:ascii="Times New Roman" w:hAnsi="Times New Roman" w:cs="Times New Roman"/>
          <w:lang w:val="en-GB"/>
        </w:rPr>
      </w:pPr>
    </w:p>
    <w:p w14:paraId="2E742ED5" w14:textId="6A573D30" w:rsidR="006B1D2F" w:rsidRPr="00D34627" w:rsidRDefault="006B1D2F" w:rsidP="00B450C8">
      <w:pPr>
        <w:pStyle w:val="Style2"/>
        <w:rPr>
          <w:lang w:val="en-GB"/>
        </w:rPr>
      </w:pPr>
      <w:r w:rsidRPr="00D34627">
        <w:rPr>
          <w:lang w:val="en-GB"/>
        </w:rPr>
        <w:t>Canada’s position</w:t>
      </w:r>
    </w:p>
    <w:p w14:paraId="2FD34EA7" w14:textId="77777777" w:rsidR="00E87589" w:rsidRPr="00D34627" w:rsidRDefault="00E87589" w:rsidP="00C6613D">
      <w:pPr>
        <w:jc w:val="both"/>
        <w:rPr>
          <w:rFonts w:ascii="Times New Roman" w:hAnsi="Times New Roman" w:cs="Times New Roman"/>
          <w:lang w:val="en-GB"/>
        </w:rPr>
      </w:pPr>
    </w:p>
    <w:p w14:paraId="278128BA" w14:textId="691DE122" w:rsidR="00A85BA5" w:rsidRPr="003A1658" w:rsidRDefault="006B1D2F" w:rsidP="00C6613D">
      <w:pPr>
        <w:jc w:val="both"/>
        <w:rPr>
          <w:rFonts w:ascii="Times New Roman" w:hAnsi="Times New Roman" w:cs="Times New Roman"/>
          <w:lang w:val="en-GB"/>
        </w:rPr>
      </w:pPr>
      <w:r w:rsidRPr="00D34627">
        <w:rPr>
          <w:rFonts w:ascii="Times New Roman" w:hAnsi="Times New Roman" w:cs="Times New Roman"/>
          <w:lang w:val="en-GB"/>
        </w:rPr>
        <w:t>In its submission, Canada</w:t>
      </w:r>
      <w:r w:rsidR="00892CEA">
        <w:rPr>
          <w:rFonts w:ascii="Times New Roman" w:hAnsi="Times New Roman" w:cs="Times New Roman"/>
          <w:lang w:val="en-GB"/>
        </w:rPr>
        <w:t xml:space="preserve"> states that it</w:t>
      </w:r>
      <w:r w:rsidRPr="00D34627">
        <w:rPr>
          <w:rFonts w:ascii="Times New Roman" w:hAnsi="Times New Roman" w:cs="Times New Roman"/>
          <w:lang w:val="en-GB"/>
        </w:rPr>
        <w:t xml:space="preserve"> </w:t>
      </w:r>
      <w:r w:rsidR="00424CE6" w:rsidRPr="00D34627">
        <w:rPr>
          <w:rFonts w:ascii="Times New Roman" w:hAnsi="Times New Roman" w:cs="Times New Roman"/>
          <w:lang w:val="en-GB"/>
        </w:rPr>
        <w:t>disagrees with the Committee’s approach to what constitutes acquiescence.</w:t>
      </w:r>
      <w:r w:rsidR="00424CE6" w:rsidRPr="00D34627">
        <w:rPr>
          <w:rStyle w:val="FootnoteReference"/>
          <w:rFonts w:ascii="Times New Roman" w:hAnsi="Times New Roman" w:cs="Times New Roman"/>
          <w:lang w:val="en-GB"/>
        </w:rPr>
        <w:footnoteReference w:id="10"/>
      </w:r>
      <w:r w:rsidR="003A351B" w:rsidRPr="00D34627">
        <w:rPr>
          <w:rFonts w:ascii="Times New Roman" w:hAnsi="Times New Roman" w:cs="Times New Roman"/>
          <w:lang w:val="en-GB"/>
        </w:rPr>
        <w:t xml:space="preserve"> Canada advances a significantly narrower interpretation which would require </w:t>
      </w:r>
      <w:r w:rsidR="0039190C" w:rsidRPr="00D34627">
        <w:rPr>
          <w:rFonts w:ascii="Times New Roman" w:hAnsi="Times New Roman" w:cs="Times New Roman"/>
          <w:lang w:val="en-GB"/>
        </w:rPr>
        <w:t xml:space="preserve">what appears to be a stricter </w:t>
      </w:r>
      <w:proofErr w:type="spellStart"/>
      <w:r w:rsidR="003A351B" w:rsidRPr="00D34627">
        <w:rPr>
          <w:rFonts w:ascii="Times New Roman" w:hAnsi="Times New Roman" w:cs="Times New Roman"/>
          <w:i/>
          <w:lang w:val="en-GB"/>
        </w:rPr>
        <w:t>mens</w:t>
      </w:r>
      <w:proofErr w:type="spellEnd"/>
      <w:r w:rsidR="003A351B" w:rsidRPr="00D34627">
        <w:rPr>
          <w:rFonts w:ascii="Times New Roman" w:hAnsi="Times New Roman" w:cs="Times New Roman"/>
          <w:i/>
          <w:lang w:val="en-GB"/>
        </w:rPr>
        <w:t xml:space="preserve"> rea</w:t>
      </w:r>
      <w:r w:rsidR="003A351B" w:rsidRPr="00D34627">
        <w:rPr>
          <w:rFonts w:ascii="Times New Roman" w:hAnsi="Times New Roman" w:cs="Times New Roman"/>
          <w:lang w:val="en-GB"/>
        </w:rPr>
        <w:t xml:space="preserve"> element </w:t>
      </w:r>
      <w:r w:rsidR="0050586B" w:rsidRPr="00D34627">
        <w:rPr>
          <w:rFonts w:ascii="Times New Roman" w:hAnsi="Times New Roman" w:cs="Times New Roman"/>
          <w:lang w:val="en-GB"/>
        </w:rPr>
        <w:t>for</w:t>
      </w:r>
      <w:r w:rsidR="003A351B" w:rsidRPr="00D34627">
        <w:rPr>
          <w:rFonts w:ascii="Times New Roman" w:hAnsi="Times New Roman" w:cs="Times New Roman"/>
          <w:lang w:val="en-GB"/>
        </w:rPr>
        <w:t xml:space="preserve"> attaching </w:t>
      </w:r>
      <w:r w:rsidR="0050586B" w:rsidRPr="00D34627">
        <w:rPr>
          <w:rFonts w:ascii="Times New Roman" w:hAnsi="Times New Roman" w:cs="Times New Roman"/>
          <w:lang w:val="en-GB"/>
        </w:rPr>
        <w:t>responsibility to</w:t>
      </w:r>
      <w:r w:rsidR="003A351B" w:rsidRPr="00D34627">
        <w:rPr>
          <w:rFonts w:ascii="Times New Roman" w:hAnsi="Times New Roman" w:cs="Times New Roman"/>
          <w:lang w:val="en-GB"/>
        </w:rPr>
        <w:t xml:space="preserve"> the State. Canada posits: “[…] acts of violence will only constitute ‘torture’ when there is some </w:t>
      </w:r>
      <w:r w:rsidR="003A351B" w:rsidRPr="00E25312">
        <w:rPr>
          <w:rFonts w:ascii="Times New Roman" w:hAnsi="Times New Roman" w:cs="Times New Roman"/>
          <w:i/>
          <w:lang w:val="en-GB"/>
        </w:rPr>
        <w:t>intentional</w:t>
      </w:r>
      <w:r w:rsidR="003A351B" w:rsidRPr="00D34627">
        <w:rPr>
          <w:rFonts w:ascii="Times New Roman" w:hAnsi="Times New Roman" w:cs="Times New Roman"/>
          <w:lang w:val="en-GB"/>
        </w:rPr>
        <w:t xml:space="preserve"> involvement, including acquiescence, by a public official or other person acting in an official capacity [emphasis added].”</w:t>
      </w:r>
      <w:r w:rsidR="003A351B" w:rsidRPr="00D34627">
        <w:rPr>
          <w:rStyle w:val="FootnoteReference"/>
          <w:rFonts w:ascii="Times New Roman" w:hAnsi="Times New Roman" w:cs="Times New Roman"/>
          <w:lang w:val="en-GB"/>
        </w:rPr>
        <w:footnoteReference w:id="11"/>
      </w:r>
      <w:r w:rsidR="00D71471" w:rsidRPr="00D34627">
        <w:rPr>
          <w:rFonts w:ascii="Times New Roman" w:hAnsi="Times New Roman" w:cs="Times New Roman"/>
          <w:lang w:val="en-GB"/>
        </w:rPr>
        <w:t xml:space="preserve"> </w:t>
      </w:r>
      <w:r w:rsidR="002F59DB">
        <w:rPr>
          <w:rFonts w:ascii="Times New Roman" w:hAnsi="Times New Roman" w:cs="Times New Roman"/>
          <w:lang w:val="en-GB"/>
        </w:rPr>
        <w:t>In addition, f</w:t>
      </w:r>
      <w:r w:rsidR="00D71471" w:rsidRPr="00D34627">
        <w:rPr>
          <w:rFonts w:ascii="Times New Roman" w:hAnsi="Times New Roman" w:cs="Times New Roman"/>
          <w:lang w:val="en-GB"/>
        </w:rPr>
        <w:t>or torture by a non-</w:t>
      </w:r>
      <w:r w:rsidR="00386AD4">
        <w:rPr>
          <w:rFonts w:ascii="Times New Roman" w:hAnsi="Times New Roman" w:cs="Times New Roman"/>
          <w:lang w:val="en-GB"/>
        </w:rPr>
        <w:t>s</w:t>
      </w:r>
      <w:r w:rsidR="00D71471" w:rsidRPr="00D34627">
        <w:rPr>
          <w:rFonts w:ascii="Times New Roman" w:hAnsi="Times New Roman" w:cs="Times New Roman"/>
          <w:lang w:val="en-GB"/>
        </w:rPr>
        <w:t xml:space="preserve">tate actor to be brought under the Convention, Canada </w:t>
      </w:r>
      <w:r w:rsidR="001A1618">
        <w:rPr>
          <w:rFonts w:ascii="Times New Roman" w:hAnsi="Times New Roman" w:cs="Times New Roman"/>
          <w:lang w:val="en-GB"/>
        </w:rPr>
        <w:t>has also argued</w:t>
      </w:r>
      <w:r w:rsidR="001A1618" w:rsidRPr="00D34627">
        <w:rPr>
          <w:rFonts w:ascii="Times New Roman" w:hAnsi="Times New Roman" w:cs="Times New Roman"/>
          <w:lang w:val="en-GB"/>
        </w:rPr>
        <w:t xml:space="preserve"> </w:t>
      </w:r>
      <w:r w:rsidR="00D71471" w:rsidRPr="00D34627">
        <w:rPr>
          <w:rFonts w:ascii="Times New Roman" w:hAnsi="Times New Roman" w:cs="Times New Roman"/>
          <w:lang w:val="en-GB"/>
        </w:rPr>
        <w:t>that a public official ought to have “subjective and specific knowledge” of the impermissible acts before failing to take “reasonable preventive measures.”</w:t>
      </w:r>
      <w:r w:rsidR="00D71471" w:rsidRPr="00D34627">
        <w:rPr>
          <w:rStyle w:val="FootnoteReference"/>
          <w:rFonts w:ascii="Times New Roman" w:hAnsi="Times New Roman" w:cs="Times New Roman"/>
          <w:lang w:val="en-GB"/>
        </w:rPr>
        <w:footnoteReference w:id="12"/>
      </w:r>
      <w:r w:rsidR="00877270" w:rsidRPr="00D34627">
        <w:rPr>
          <w:rFonts w:ascii="Times New Roman" w:hAnsi="Times New Roman" w:cs="Times New Roman"/>
          <w:lang w:val="en-GB"/>
        </w:rPr>
        <w:t xml:space="preserve"> </w:t>
      </w:r>
      <w:r w:rsidR="003A1658">
        <w:rPr>
          <w:rFonts w:ascii="Times New Roman" w:hAnsi="Times New Roman" w:cs="Times New Roman"/>
          <w:lang w:val="en-GB"/>
        </w:rPr>
        <w:t>Even this is not sufficient for acquiescence according to Canada, which submits that acquiescence “</w:t>
      </w:r>
      <w:r w:rsidR="003A1658">
        <w:rPr>
          <w:rFonts w:ascii="Times New Roman" w:hAnsi="Times New Roman" w:cs="Times New Roman"/>
          <w:i/>
          <w:lang w:val="en-GB"/>
        </w:rPr>
        <w:t>might</w:t>
      </w:r>
      <w:r w:rsidR="003A1658">
        <w:rPr>
          <w:rFonts w:ascii="Times New Roman" w:hAnsi="Times New Roman" w:cs="Times New Roman"/>
          <w:lang w:val="en-GB"/>
        </w:rPr>
        <w:t xml:space="preserve"> [emphasis added]” occur in such circumstances.</w:t>
      </w:r>
      <w:r w:rsidR="003A1658">
        <w:rPr>
          <w:rStyle w:val="FootnoteReference"/>
          <w:rFonts w:ascii="Times New Roman" w:hAnsi="Times New Roman" w:cs="Times New Roman"/>
          <w:lang w:val="en-GB"/>
        </w:rPr>
        <w:footnoteReference w:id="13"/>
      </w:r>
      <w:r w:rsidR="003A1658">
        <w:rPr>
          <w:rFonts w:ascii="Times New Roman" w:hAnsi="Times New Roman" w:cs="Times New Roman"/>
          <w:lang w:val="en-GB"/>
        </w:rPr>
        <w:t xml:space="preserve"> Further, lack of knowledge of something that ought to have been known is omitted from </w:t>
      </w:r>
      <w:r w:rsidR="00DD774E">
        <w:rPr>
          <w:rFonts w:ascii="Times New Roman" w:hAnsi="Times New Roman" w:cs="Times New Roman"/>
          <w:lang w:val="en-GB"/>
        </w:rPr>
        <w:t xml:space="preserve">the </w:t>
      </w:r>
      <w:r w:rsidR="003A1658">
        <w:rPr>
          <w:rFonts w:ascii="Times New Roman" w:hAnsi="Times New Roman" w:cs="Times New Roman"/>
          <w:lang w:val="en-GB"/>
        </w:rPr>
        <w:t>test put forward by Canada.</w:t>
      </w:r>
    </w:p>
    <w:p w14:paraId="35FE87FD" w14:textId="77777777" w:rsidR="00A85BA5" w:rsidRDefault="00A85BA5" w:rsidP="00C6613D">
      <w:pPr>
        <w:jc w:val="both"/>
        <w:rPr>
          <w:rFonts w:ascii="Times New Roman" w:hAnsi="Times New Roman" w:cs="Times New Roman"/>
          <w:lang w:val="en-GB"/>
        </w:rPr>
      </w:pPr>
    </w:p>
    <w:p w14:paraId="47191E8B" w14:textId="757B82BF" w:rsidR="003A351B" w:rsidRPr="00D34627" w:rsidRDefault="00877270" w:rsidP="00C6613D">
      <w:pPr>
        <w:jc w:val="both"/>
        <w:rPr>
          <w:rFonts w:ascii="Times New Roman" w:hAnsi="Times New Roman" w:cs="Times New Roman"/>
          <w:lang w:val="en-GB"/>
        </w:rPr>
      </w:pPr>
      <w:r w:rsidRPr="00D34627">
        <w:rPr>
          <w:rFonts w:ascii="Times New Roman" w:hAnsi="Times New Roman" w:cs="Times New Roman"/>
          <w:lang w:val="en-GB"/>
        </w:rPr>
        <w:t xml:space="preserve">Canada’s position is not generally inconsistent with </w:t>
      </w:r>
      <w:r w:rsidR="00531F87" w:rsidRPr="00D34627">
        <w:rPr>
          <w:rFonts w:ascii="Times New Roman" w:hAnsi="Times New Roman" w:cs="Times New Roman"/>
          <w:lang w:val="en-GB"/>
        </w:rPr>
        <w:t xml:space="preserve">the understanding of acquiescence in international law </w:t>
      </w:r>
      <w:r w:rsidRPr="00D34627">
        <w:rPr>
          <w:rFonts w:ascii="Times New Roman" w:hAnsi="Times New Roman" w:cs="Times New Roman"/>
          <w:lang w:val="en-GB"/>
        </w:rPr>
        <w:t>to the extent that it rejects a strict liability standard</w:t>
      </w:r>
      <w:r w:rsidR="00A85BA5">
        <w:rPr>
          <w:rFonts w:ascii="Times New Roman" w:hAnsi="Times New Roman" w:cs="Times New Roman"/>
          <w:lang w:val="en-GB"/>
        </w:rPr>
        <w:t xml:space="preserve"> such that every instance of an impermissible act would trigger State responsibility</w:t>
      </w:r>
      <w:r w:rsidRPr="00D34627">
        <w:rPr>
          <w:rFonts w:ascii="Times New Roman" w:hAnsi="Times New Roman" w:cs="Times New Roman"/>
          <w:lang w:val="en-GB"/>
        </w:rPr>
        <w:t>.</w:t>
      </w:r>
      <w:bookmarkStart w:id="3" w:name="_Ref529861374"/>
      <w:r w:rsidR="009532CE" w:rsidRPr="00D34627">
        <w:rPr>
          <w:rStyle w:val="FootnoteReference"/>
          <w:rFonts w:ascii="Times New Roman" w:hAnsi="Times New Roman" w:cs="Times New Roman"/>
          <w:lang w:val="en-GB"/>
        </w:rPr>
        <w:footnoteReference w:id="14"/>
      </w:r>
      <w:bookmarkEnd w:id="3"/>
      <w:r w:rsidR="00900DFB" w:rsidRPr="00D34627">
        <w:rPr>
          <w:rFonts w:ascii="Times New Roman" w:hAnsi="Times New Roman" w:cs="Times New Roman"/>
          <w:lang w:val="en-GB"/>
        </w:rPr>
        <w:t xml:space="preserve"> </w:t>
      </w:r>
      <w:r w:rsidR="00507958" w:rsidRPr="00D34627">
        <w:rPr>
          <w:rFonts w:ascii="Times New Roman" w:hAnsi="Times New Roman" w:cs="Times New Roman"/>
          <w:lang w:val="en-GB"/>
        </w:rPr>
        <w:t xml:space="preserve">By introducing the “intentional </w:t>
      </w:r>
      <w:r w:rsidR="00507958" w:rsidRPr="00D34627">
        <w:rPr>
          <w:rFonts w:ascii="Times New Roman" w:hAnsi="Times New Roman" w:cs="Times New Roman"/>
          <w:lang w:val="en-GB"/>
        </w:rPr>
        <w:lastRenderedPageBreak/>
        <w:t>involvement” standard, h</w:t>
      </w:r>
      <w:r w:rsidR="00900DFB" w:rsidRPr="00D34627">
        <w:rPr>
          <w:rFonts w:ascii="Times New Roman" w:hAnsi="Times New Roman" w:cs="Times New Roman"/>
          <w:lang w:val="en-GB"/>
        </w:rPr>
        <w:t xml:space="preserve">owever, </w:t>
      </w:r>
      <w:r w:rsidR="00507958" w:rsidRPr="00D34627">
        <w:rPr>
          <w:rFonts w:ascii="Times New Roman" w:hAnsi="Times New Roman" w:cs="Times New Roman"/>
          <w:lang w:val="en-GB"/>
        </w:rPr>
        <w:t>Canada</w:t>
      </w:r>
      <w:r w:rsidR="0050586B" w:rsidRPr="00D34627">
        <w:rPr>
          <w:rFonts w:ascii="Times New Roman" w:hAnsi="Times New Roman" w:cs="Times New Roman"/>
          <w:lang w:val="en-GB"/>
        </w:rPr>
        <w:t xml:space="preserve"> advances an interpretation that allows the </w:t>
      </w:r>
      <w:r w:rsidR="00BF2B5F" w:rsidRPr="00D34627">
        <w:rPr>
          <w:rFonts w:ascii="Times New Roman" w:hAnsi="Times New Roman" w:cs="Times New Roman"/>
          <w:lang w:val="en-GB"/>
        </w:rPr>
        <w:t>S</w:t>
      </w:r>
      <w:r w:rsidR="0050586B" w:rsidRPr="00D34627">
        <w:rPr>
          <w:rFonts w:ascii="Times New Roman" w:hAnsi="Times New Roman" w:cs="Times New Roman"/>
          <w:lang w:val="en-GB"/>
        </w:rPr>
        <w:t>tate to avoid responsibility by simply claiming its officials were unaware.</w:t>
      </w:r>
      <w:r w:rsidRPr="00D34627">
        <w:rPr>
          <w:rFonts w:ascii="Times New Roman" w:hAnsi="Times New Roman" w:cs="Times New Roman"/>
          <w:lang w:val="en-GB"/>
        </w:rPr>
        <w:t xml:space="preserve"> </w:t>
      </w:r>
    </w:p>
    <w:p w14:paraId="16C43916" w14:textId="00CED01F" w:rsidR="00D71471" w:rsidRPr="00D34627" w:rsidRDefault="00D71471" w:rsidP="00C6613D">
      <w:pPr>
        <w:jc w:val="both"/>
        <w:rPr>
          <w:rFonts w:ascii="Times New Roman" w:hAnsi="Times New Roman" w:cs="Times New Roman"/>
          <w:lang w:val="en-GB"/>
        </w:rPr>
      </w:pPr>
    </w:p>
    <w:p w14:paraId="30FBD51C" w14:textId="77777777" w:rsidR="00C700BA" w:rsidRDefault="00AC0155" w:rsidP="002F7B6B">
      <w:pPr>
        <w:jc w:val="both"/>
        <w:rPr>
          <w:rFonts w:ascii="Times New Roman" w:hAnsi="Times New Roman" w:cs="Times New Roman"/>
          <w:lang w:val="en-GB"/>
        </w:rPr>
      </w:pPr>
      <w:r w:rsidRPr="00D34627">
        <w:rPr>
          <w:rFonts w:ascii="Times New Roman" w:hAnsi="Times New Roman" w:cs="Times New Roman"/>
          <w:lang w:val="en-GB"/>
        </w:rPr>
        <w:t xml:space="preserve">In </w:t>
      </w:r>
      <w:proofErr w:type="spellStart"/>
      <w:r w:rsidRPr="00D34627">
        <w:rPr>
          <w:rFonts w:ascii="Times New Roman" w:hAnsi="Times New Roman" w:cs="Times New Roman"/>
          <w:i/>
          <w:lang w:val="en-GB"/>
        </w:rPr>
        <w:t>Ha</w:t>
      </w:r>
      <w:r w:rsidR="00A512F1" w:rsidRPr="00D34627">
        <w:rPr>
          <w:rFonts w:ascii="Times New Roman" w:hAnsi="Times New Roman" w:cs="Times New Roman"/>
          <w:i/>
          <w:lang w:val="en-GB"/>
        </w:rPr>
        <w:t>jrizi</w:t>
      </w:r>
      <w:proofErr w:type="spellEnd"/>
      <w:r w:rsidR="00A512F1" w:rsidRPr="00D34627">
        <w:rPr>
          <w:rFonts w:ascii="Times New Roman" w:hAnsi="Times New Roman" w:cs="Times New Roman"/>
          <w:i/>
          <w:lang w:val="en-GB"/>
        </w:rPr>
        <w:t xml:space="preserve"> </w:t>
      </w:r>
      <w:proofErr w:type="spellStart"/>
      <w:r w:rsidR="00A512F1" w:rsidRPr="00D34627">
        <w:rPr>
          <w:rFonts w:ascii="Times New Roman" w:hAnsi="Times New Roman" w:cs="Times New Roman"/>
          <w:i/>
          <w:lang w:val="en-GB"/>
        </w:rPr>
        <w:t>Dzemajl</w:t>
      </w:r>
      <w:proofErr w:type="spellEnd"/>
      <w:r w:rsidR="00A512F1" w:rsidRPr="00D34627">
        <w:rPr>
          <w:rFonts w:ascii="Times New Roman" w:hAnsi="Times New Roman" w:cs="Times New Roman"/>
          <w:i/>
          <w:lang w:val="en-GB"/>
        </w:rPr>
        <w:t xml:space="preserve"> et al v Yugoslavia</w:t>
      </w:r>
      <w:r w:rsidR="00A512F1" w:rsidRPr="00D34627">
        <w:rPr>
          <w:rFonts w:ascii="Times New Roman" w:hAnsi="Times New Roman" w:cs="Times New Roman"/>
          <w:lang w:val="en-GB"/>
        </w:rPr>
        <w:t>, the case that Canada relies on</w:t>
      </w:r>
      <w:r w:rsidR="00451D8A" w:rsidRPr="00D34627">
        <w:rPr>
          <w:rStyle w:val="FootnoteReference"/>
          <w:rFonts w:ascii="Times New Roman" w:hAnsi="Times New Roman" w:cs="Times New Roman"/>
          <w:lang w:val="en-GB"/>
        </w:rPr>
        <w:footnoteReference w:id="15"/>
      </w:r>
      <w:r w:rsidR="006A3699" w:rsidRPr="00D34627">
        <w:rPr>
          <w:rFonts w:ascii="Times New Roman" w:hAnsi="Times New Roman" w:cs="Times New Roman"/>
          <w:lang w:val="en-GB"/>
        </w:rPr>
        <w:t xml:space="preserve"> in its submission</w:t>
      </w:r>
      <w:r w:rsidR="00A512F1" w:rsidRPr="00D34627">
        <w:rPr>
          <w:rFonts w:ascii="Times New Roman" w:hAnsi="Times New Roman" w:cs="Times New Roman"/>
          <w:lang w:val="en-GB"/>
        </w:rPr>
        <w:t>,</w:t>
      </w:r>
      <w:r w:rsidR="002C1D02">
        <w:rPr>
          <w:rFonts w:ascii="Times New Roman" w:hAnsi="Times New Roman" w:cs="Times New Roman"/>
          <w:lang w:val="en-GB"/>
        </w:rPr>
        <w:t xml:space="preserve"> the complainants</w:t>
      </w:r>
      <w:r w:rsidR="00E25312">
        <w:rPr>
          <w:rFonts w:ascii="Times New Roman" w:hAnsi="Times New Roman" w:cs="Times New Roman"/>
          <w:lang w:val="en-GB"/>
        </w:rPr>
        <w:t>,</w:t>
      </w:r>
      <w:r w:rsidR="002C1D02">
        <w:rPr>
          <w:rFonts w:ascii="Times New Roman" w:hAnsi="Times New Roman" w:cs="Times New Roman"/>
          <w:lang w:val="en-GB"/>
        </w:rPr>
        <w:t xml:space="preserve"> in fact, in the Committee’s words, “</w:t>
      </w:r>
      <w:r w:rsidR="002C1D02" w:rsidRPr="002C1D02">
        <w:rPr>
          <w:rFonts w:ascii="Times New Roman" w:hAnsi="Times New Roman" w:cs="Times New Roman"/>
          <w:i/>
          <w:iCs/>
          <w:lang w:val="en-GB"/>
        </w:rPr>
        <w:t>rely on a review of international jur</w:t>
      </w:r>
      <w:r w:rsidR="002F7B6B">
        <w:rPr>
          <w:rFonts w:ascii="Times New Roman" w:hAnsi="Times New Roman" w:cs="Times New Roman"/>
          <w:i/>
          <w:iCs/>
          <w:lang w:val="en-GB"/>
        </w:rPr>
        <w:t>isprudence on the principle of ‘</w:t>
      </w:r>
      <w:r w:rsidR="002C1D02" w:rsidRPr="002C1D02">
        <w:rPr>
          <w:rFonts w:ascii="Times New Roman" w:hAnsi="Times New Roman" w:cs="Times New Roman"/>
          <w:i/>
          <w:iCs/>
          <w:lang w:val="en-GB"/>
        </w:rPr>
        <w:t>due diligence</w:t>
      </w:r>
      <w:r w:rsidR="002F7B6B">
        <w:rPr>
          <w:rFonts w:ascii="Times New Roman" w:hAnsi="Times New Roman" w:cs="Times New Roman"/>
          <w:i/>
          <w:iCs/>
          <w:lang w:val="en-GB"/>
        </w:rPr>
        <w:t>’</w:t>
      </w:r>
      <w:r w:rsidR="002C1D02" w:rsidRPr="002C1D02">
        <w:rPr>
          <w:rFonts w:ascii="Times New Roman" w:hAnsi="Times New Roman" w:cs="Times New Roman"/>
          <w:i/>
          <w:iCs/>
          <w:lang w:val="en-GB"/>
        </w:rPr>
        <w:t xml:space="preserve"> </w:t>
      </w:r>
      <w:r w:rsidR="002C1D02" w:rsidRPr="002C1D02">
        <w:rPr>
          <w:rFonts w:ascii="Times New Roman" w:hAnsi="Times New Roman" w:cs="Times New Roman"/>
          <w:lang w:val="en-GB"/>
        </w:rPr>
        <w:t xml:space="preserve">and remind the current state of international law with regard to </w:t>
      </w:r>
      <w:r w:rsidR="00EB62A2">
        <w:rPr>
          <w:rFonts w:ascii="Times New Roman" w:hAnsi="Times New Roman" w:cs="Times New Roman"/>
          <w:lang w:val="en-GB"/>
        </w:rPr>
        <w:t>‘</w:t>
      </w:r>
      <w:r w:rsidR="002C1D02" w:rsidRPr="002C1D02">
        <w:rPr>
          <w:rFonts w:ascii="Times New Roman" w:hAnsi="Times New Roman" w:cs="Times New Roman"/>
          <w:lang w:val="en-GB"/>
        </w:rPr>
        <w:t>positive</w:t>
      </w:r>
      <w:r w:rsidR="00EB62A2">
        <w:rPr>
          <w:rFonts w:ascii="Times New Roman" w:hAnsi="Times New Roman" w:cs="Times New Roman"/>
          <w:lang w:val="en-GB"/>
        </w:rPr>
        <w:t>’</w:t>
      </w:r>
      <w:r w:rsidR="002C1D02" w:rsidRPr="002C1D02">
        <w:rPr>
          <w:rFonts w:ascii="Times New Roman" w:hAnsi="Times New Roman" w:cs="Times New Roman"/>
          <w:lang w:val="en-GB"/>
        </w:rPr>
        <w:t xml:space="preserve"> obligations that are incumbent on States</w:t>
      </w:r>
      <w:r w:rsidR="00A85BA5">
        <w:rPr>
          <w:rFonts w:ascii="Times New Roman" w:hAnsi="Times New Roman" w:cs="Times New Roman"/>
          <w:lang w:val="en-GB"/>
        </w:rPr>
        <w:t xml:space="preserve"> [emphasis added].</w:t>
      </w:r>
      <w:r w:rsidR="002C1D02">
        <w:rPr>
          <w:rFonts w:ascii="Times New Roman" w:hAnsi="Times New Roman" w:cs="Times New Roman"/>
          <w:lang w:val="en-GB"/>
        </w:rPr>
        <w:t>”</w:t>
      </w:r>
      <w:r w:rsidR="00A51D0B">
        <w:rPr>
          <w:rStyle w:val="FootnoteReference"/>
          <w:rFonts w:ascii="Times New Roman" w:hAnsi="Times New Roman" w:cs="Times New Roman"/>
          <w:lang w:val="en-GB"/>
        </w:rPr>
        <w:footnoteReference w:id="16"/>
      </w:r>
      <w:r w:rsidR="002C1D02">
        <w:rPr>
          <w:rFonts w:ascii="Times New Roman" w:hAnsi="Times New Roman" w:cs="Times New Roman"/>
          <w:lang w:val="en-GB"/>
        </w:rPr>
        <w:t xml:space="preserve"> </w:t>
      </w:r>
      <w:r w:rsidR="006428EC">
        <w:rPr>
          <w:rFonts w:ascii="Times New Roman" w:hAnsi="Times New Roman" w:cs="Times New Roman"/>
          <w:lang w:val="en-GB"/>
        </w:rPr>
        <w:t>In its findings, t</w:t>
      </w:r>
      <w:r w:rsidR="002C1D02">
        <w:rPr>
          <w:rFonts w:ascii="Times New Roman" w:hAnsi="Times New Roman" w:cs="Times New Roman"/>
          <w:lang w:val="en-GB"/>
        </w:rPr>
        <w:t xml:space="preserve">he Committee endorsed the </w:t>
      </w:r>
      <w:r w:rsidR="006428EC">
        <w:rPr>
          <w:rFonts w:ascii="Times New Roman" w:hAnsi="Times New Roman" w:cs="Times New Roman"/>
          <w:lang w:val="en-GB"/>
        </w:rPr>
        <w:t>complainants’</w:t>
      </w:r>
      <w:r w:rsidR="00C00CFE">
        <w:rPr>
          <w:rFonts w:ascii="Times New Roman" w:hAnsi="Times New Roman" w:cs="Times New Roman"/>
          <w:lang w:val="en-GB"/>
        </w:rPr>
        <w:t xml:space="preserve"> claims and</w:t>
      </w:r>
      <w:r w:rsidR="006428EC">
        <w:rPr>
          <w:rFonts w:ascii="Times New Roman" w:hAnsi="Times New Roman" w:cs="Times New Roman"/>
          <w:lang w:val="en-GB"/>
        </w:rPr>
        <w:t xml:space="preserve"> positions</w:t>
      </w:r>
      <w:r w:rsidR="002C1D02">
        <w:rPr>
          <w:rFonts w:ascii="Times New Roman" w:hAnsi="Times New Roman" w:cs="Times New Roman"/>
          <w:lang w:val="en-GB"/>
        </w:rPr>
        <w:t xml:space="preserve"> in full,</w:t>
      </w:r>
      <w:r w:rsidR="00A51D0B">
        <w:rPr>
          <w:rFonts w:ascii="Times New Roman" w:hAnsi="Times New Roman" w:cs="Times New Roman"/>
          <w:lang w:val="en-GB"/>
        </w:rPr>
        <w:t xml:space="preserve"> thereby clearly adopting </w:t>
      </w:r>
      <w:r w:rsidR="006428EC">
        <w:rPr>
          <w:rFonts w:ascii="Times New Roman" w:hAnsi="Times New Roman" w:cs="Times New Roman"/>
          <w:lang w:val="en-GB"/>
        </w:rPr>
        <w:t>the</w:t>
      </w:r>
      <w:r w:rsidR="00A51D0B">
        <w:rPr>
          <w:rFonts w:ascii="Times New Roman" w:hAnsi="Times New Roman" w:cs="Times New Roman"/>
          <w:lang w:val="en-GB"/>
        </w:rPr>
        <w:t xml:space="preserve"> approach</w:t>
      </w:r>
      <w:r w:rsidR="006428EC">
        <w:rPr>
          <w:rFonts w:ascii="Times New Roman" w:hAnsi="Times New Roman" w:cs="Times New Roman"/>
          <w:lang w:val="en-GB"/>
        </w:rPr>
        <w:t xml:space="preserve"> later expressed</w:t>
      </w:r>
      <w:r w:rsidR="00A51D0B">
        <w:rPr>
          <w:rFonts w:ascii="Times New Roman" w:hAnsi="Times New Roman" w:cs="Times New Roman"/>
          <w:lang w:val="en-GB"/>
        </w:rPr>
        <w:t xml:space="preserve"> in General Comment No. 2 </w:t>
      </w:r>
      <w:r w:rsidR="006428EC">
        <w:rPr>
          <w:rFonts w:ascii="Times New Roman" w:hAnsi="Times New Roman" w:cs="Times New Roman"/>
          <w:lang w:val="en-GB"/>
        </w:rPr>
        <w:t>which equates official</w:t>
      </w:r>
      <w:r w:rsidR="00A51D0B">
        <w:rPr>
          <w:rFonts w:ascii="Times New Roman" w:hAnsi="Times New Roman" w:cs="Times New Roman"/>
          <w:lang w:val="en-GB"/>
        </w:rPr>
        <w:t xml:space="preserve"> “acquiescence”</w:t>
      </w:r>
      <w:r w:rsidR="006428EC">
        <w:rPr>
          <w:rFonts w:ascii="Times New Roman" w:hAnsi="Times New Roman" w:cs="Times New Roman"/>
          <w:lang w:val="en-GB"/>
        </w:rPr>
        <w:t xml:space="preserve"> to torture or other ill-treatment by non-state actors</w:t>
      </w:r>
      <w:r w:rsidR="00A51D0B">
        <w:rPr>
          <w:rFonts w:ascii="Times New Roman" w:hAnsi="Times New Roman" w:cs="Times New Roman"/>
          <w:lang w:val="en-GB"/>
        </w:rPr>
        <w:t xml:space="preserve"> with state failure to meet its due diligence obligations</w:t>
      </w:r>
      <w:r w:rsidR="006428EC">
        <w:rPr>
          <w:rFonts w:ascii="Times New Roman" w:hAnsi="Times New Roman" w:cs="Times New Roman"/>
          <w:lang w:val="en-GB"/>
        </w:rPr>
        <w:t xml:space="preserve"> to prevent, stop, punish or ensure remedy for such acts</w:t>
      </w:r>
      <w:r w:rsidR="00A51D0B">
        <w:rPr>
          <w:rFonts w:ascii="Times New Roman" w:hAnsi="Times New Roman" w:cs="Times New Roman"/>
          <w:lang w:val="en-GB"/>
        </w:rPr>
        <w:t>.</w:t>
      </w:r>
      <w:r w:rsidR="00A512F1" w:rsidRPr="00D34627">
        <w:rPr>
          <w:rFonts w:ascii="Times New Roman" w:hAnsi="Times New Roman" w:cs="Times New Roman"/>
          <w:lang w:val="en-GB"/>
        </w:rPr>
        <w:t xml:space="preserve"> </w:t>
      </w:r>
      <w:r w:rsidR="00A51D0B">
        <w:rPr>
          <w:rFonts w:ascii="Times New Roman" w:hAnsi="Times New Roman" w:cs="Times New Roman"/>
          <w:lang w:val="en-GB"/>
        </w:rPr>
        <w:t>T</w:t>
      </w:r>
      <w:r w:rsidR="00A512F1" w:rsidRPr="00D34627">
        <w:rPr>
          <w:rFonts w:ascii="Times New Roman" w:hAnsi="Times New Roman" w:cs="Times New Roman"/>
          <w:lang w:val="en-GB"/>
        </w:rPr>
        <w:t xml:space="preserve">he </w:t>
      </w:r>
      <w:r w:rsidR="00781681" w:rsidRPr="00D34627">
        <w:rPr>
          <w:rFonts w:ascii="Times New Roman" w:hAnsi="Times New Roman" w:cs="Times New Roman"/>
          <w:lang w:val="en-GB"/>
        </w:rPr>
        <w:t>Committee</w:t>
      </w:r>
      <w:r w:rsidR="00EB62A2">
        <w:rPr>
          <w:rFonts w:ascii="Times New Roman" w:hAnsi="Times New Roman" w:cs="Times New Roman"/>
          <w:lang w:val="en-GB"/>
        </w:rPr>
        <w:t>, in that case,</w:t>
      </w:r>
      <w:r w:rsidR="00781681" w:rsidRPr="00D34627">
        <w:rPr>
          <w:rFonts w:ascii="Times New Roman" w:hAnsi="Times New Roman" w:cs="Times New Roman"/>
          <w:lang w:val="en-GB"/>
        </w:rPr>
        <w:t xml:space="preserve"> </w:t>
      </w:r>
      <w:r w:rsidR="006E383B" w:rsidRPr="00D34627">
        <w:rPr>
          <w:rFonts w:ascii="Times New Roman" w:hAnsi="Times New Roman" w:cs="Times New Roman"/>
          <w:lang w:val="en-GB"/>
        </w:rPr>
        <w:t>found that when police failed to act to stop the burning of homes by private actors in which individuals remained hidden, the State</w:t>
      </w:r>
      <w:r w:rsidR="009A2C6E">
        <w:rPr>
          <w:rFonts w:ascii="Times New Roman" w:hAnsi="Times New Roman" w:cs="Times New Roman"/>
          <w:lang w:val="en-GB"/>
        </w:rPr>
        <w:t xml:space="preserve"> </w:t>
      </w:r>
      <w:r w:rsidR="00C700BA">
        <w:rPr>
          <w:rFonts w:ascii="Times New Roman" w:hAnsi="Times New Roman" w:cs="Times New Roman"/>
          <w:lang w:val="en-GB"/>
        </w:rPr>
        <w:t>acquiesced within the meaning of</w:t>
      </w:r>
      <w:r w:rsidR="009A2C6E">
        <w:rPr>
          <w:rFonts w:ascii="Times New Roman" w:hAnsi="Times New Roman" w:cs="Times New Roman"/>
          <w:lang w:val="en-GB"/>
        </w:rPr>
        <w:t xml:space="preserve"> </w:t>
      </w:r>
      <w:r w:rsidR="001D0C83">
        <w:rPr>
          <w:rFonts w:ascii="Times New Roman" w:hAnsi="Times New Roman" w:cs="Times New Roman"/>
          <w:lang w:val="en-GB"/>
        </w:rPr>
        <w:t>a</w:t>
      </w:r>
      <w:r w:rsidR="009A2C6E">
        <w:rPr>
          <w:rFonts w:ascii="Times New Roman" w:hAnsi="Times New Roman" w:cs="Times New Roman"/>
          <w:lang w:val="en-GB"/>
        </w:rPr>
        <w:t>rticle 16 of the Convention</w:t>
      </w:r>
      <w:r w:rsidR="006E383B" w:rsidRPr="00D34627">
        <w:rPr>
          <w:rFonts w:ascii="Times New Roman" w:hAnsi="Times New Roman" w:cs="Times New Roman"/>
          <w:lang w:val="en-GB"/>
        </w:rPr>
        <w:t>.</w:t>
      </w:r>
      <w:r w:rsidR="006E383B" w:rsidRPr="00D34627">
        <w:rPr>
          <w:rStyle w:val="FootnoteReference"/>
          <w:rFonts w:ascii="Times New Roman" w:hAnsi="Times New Roman" w:cs="Times New Roman"/>
          <w:lang w:val="en-GB"/>
        </w:rPr>
        <w:footnoteReference w:id="17"/>
      </w:r>
      <w:r w:rsidR="006E383B" w:rsidRPr="00D34627">
        <w:rPr>
          <w:rFonts w:ascii="Times New Roman" w:hAnsi="Times New Roman" w:cs="Times New Roman"/>
          <w:lang w:val="en-GB"/>
        </w:rPr>
        <w:t xml:space="preserve"> </w:t>
      </w:r>
    </w:p>
    <w:p w14:paraId="434CF16B" w14:textId="77777777" w:rsidR="00C700BA" w:rsidRDefault="00C700BA" w:rsidP="002F7B6B">
      <w:pPr>
        <w:jc w:val="both"/>
        <w:rPr>
          <w:rFonts w:ascii="Times New Roman" w:hAnsi="Times New Roman" w:cs="Times New Roman"/>
          <w:lang w:val="en-GB"/>
        </w:rPr>
      </w:pPr>
    </w:p>
    <w:p w14:paraId="626FF528" w14:textId="482B619F" w:rsidR="00816A81" w:rsidRPr="00D34627" w:rsidRDefault="00045745" w:rsidP="002F7B6B">
      <w:pPr>
        <w:jc w:val="both"/>
        <w:rPr>
          <w:rFonts w:ascii="Times New Roman" w:hAnsi="Times New Roman" w:cs="Times New Roman"/>
          <w:lang w:val="en-GB"/>
        </w:rPr>
      </w:pPr>
      <w:r w:rsidRPr="00D34627">
        <w:rPr>
          <w:rFonts w:ascii="Times New Roman" w:hAnsi="Times New Roman" w:cs="Times New Roman"/>
          <w:lang w:val="en-GB"/>
        </w:rPr>
        <w:t>This</w:t>
      </w:r>
      <w:r w:rsidR="00C700BA">
        <w:rPr>
          <w:rFonts w:ascii="Times New Roman" w:hAnsi="Times New Roman" w:cs="Times New Roman"/>
          <w:lang w:val="en-GB"/>
        </w:rPr>
        <w:t xml:space="preserve"> case</w:t>
      </w:r>
      <w:r w:rsidR="004A32C1" w:rsidRPr="00D34627">
        <w:rPr>
          <w:rFonts w:ascii="Times New Roman" w:hAnsi="Times New Roman" w:cs="Times New Roman"/>
          <w:lang w:val="en-GB"/>
        </w:rPr>
        <w:t xml:space="preserve">, </w:t>
      </w:r>
      <w:r w:rsidR="00C700BA">
        <w:rPr>
          <w:rFonts w:ascii="Times New Roman" w:hAnsi="Times New Roman" w:cs="Times New Roman"/>
          <w:lang w:val="en-GB"/>
        </w:rPr>
        <w:t>in fact</w:t>
      </w:r>
      <w:r w:rsidR="004A32C1" w:rsidRPr="00D34627">
        <w:rPr>
          <w:rFonts w:ascii="Times New Roman" w:hAnsi="Times New Roman" w:cs="Times New Roman"/>
          <w:lang w:val="en-GB"/>
        </w:rPr>
        <w:t>,</w:t>
      </w:r>
      <w:r w:rsidRPr="00D34627">
        <w:rPr>
          <w:rFonts w:ascii="Times New Roman" w:hAnsi="Times New Roman" w:cs="Times New Roman"/>
          <w:lang w:val="en-GB"/>
        </w:rPr>
        <w:t xml:space="preserve"> supports the position advanced by </w:t>
      </w:r>
      <w:r w:rsidR="00781681" w:rsidRPr="00D34627">
        <w:rPr>
          <w:rFonts w:ascii="Times New Roman" w:hAnsi="Times New Roman" w:cs="Times New Roman"/>
          <w:lang w:val="en-GB"/>
        </w:rPr>
        <w:t>Amnesty</w:t>
      </w:r>
      <w:r w:rsidRPr="00D34627">
        <w:rPr>
          <w:rFonts w:ascii="Times New Roman" w:hAnsi="Times New Roman" w:cs="Times New Roman"/>
          <w:lang w:val="en-GB"/>
        </w:rPr>
        <w:t xml:space="preserve"> </w:t>
      </w:r>
      <w:r w:rsidR="00E25312">
        <w:rPr>
          <w:rFonts w:ascii="Times New Roman" w:hAnsi="Times New Roman" w:cs="Times New Roman"/>
          <w:lang w:val="en-GB"/>
        </w:rPr>
        <w:t xml:space="preserve">International </w:t>
      </w:r>
      <w:r w:rsidRPr="00D34627">
        <w:rPr>
          <w:rFonts w:ascii="Times New Roman" w:hAnsi="Times New Roman" w:cs="Times New Roman"/>
          <w:lang w:val="en-GB"/>
        </w:rPr>
        <w:t xml:space="preserve">that the failure of the Canadian state to prevent acts of torture </w:t>
      </w:r>
      <w:r w:rsidR="002F7B6B">
        <w:rPr>
          <w:rFonts w:ascii="Times New Roman" w:hAnsi="Times New Roman" w:cs="Times New Roman"/>
          <w:lang w:val="en-GB"/>
        </w:rPr>
        <w:t>or other</w:t>
      </w:r>
      <w:r w:rsidR="002F7B6B" w:rsidRPr="00D34627">
        <w:rPr>
          <w:rFonts w:ascii="Times New Roman" w:hAnsi="Times New Roman" w:cs="Times New Roman"/>
          <w:lang w:val="en-GB"/>
        </w:rPr>
        <w:t xml:space="preserve"> </w:t>
      </w:r>
      <w:r w:rsidRPr="00D34627">
        <w:rPr>
          <w:rFonts w:ascii="Times New Roman" w:hAnsi="Times New Roman" w:cs="Times New Roman"/>
          <w:lang w:val="en-GB"/>
        </w:rPr>
        <w:t xml:space="preserve">ill-treatment against </w:t>
      </w:r>
      <w:r w:rsidR="00C700BA">
        <w:rPr>
          <w:rFonts w:ascii="Times New Roman" w:hAnsi="Times New Roman" w:cs="Times New Roman"/>
          <w:lang w:val="en-GB"/>
        </w:rPr>
        <w:t>I</w:t>
      </w:r>
      <w:r w:rsidRPr="00D34627">
        <w:rPr>
          <w:rFonts w:ascii="Times New Roman" w:hAnsi="Times New Roman" w:cs="Times New Roman"/>
          <w:lang w:val="en-GB"/>
        </w:rPr>
        <w:t xml:space="preserve">ndigenous women and girls constitutes acquiescence. </w:t>
      </w:r>
      <w:r w:rsidR="00D71471" w:rsidRPr="00D34627">
        <w:rPr>
          <w:rFonts w:ascii="Times New Roman" w:hAnsi="Times New Roman" w:cs="Times New Roman"/>
          <w:lang w:val="en-GB"/>
        </w:rPr>
        <w:t>Canada does not advance any</w:t>
      </w:r>
      <w:r w:rsidR="00E44FAF" w:rsidRPr="00D34627">
        <w:rPr>
          <w:rFonts w:ascii="Times New Roman" w:hAnsi="Times New Roman" w:cs="Times New Roman"/>
          <w:lang w:val="en-GB"/>
        </w:rPr>
        <w:t xml:space="preserve"> other</w:t>
      </w:r>
      <w:r w:rsidR="00D71471" w:rsidRPr="00D34627">
        <w:rPr>
          <w:rFonts w:ascii="Times New Roman" w:hAnsi="Times New Roman" w:cs="Times New Roman"/>
          <w:lang w:val="en-GB"/>
        </w:rPr>
        <w:t xml:space="preserve"> legal authority </w:t>
      </w:r>
      <w:r w:rsidR="008E0BAB">
        <w:rPr>
          <w:rFonts w:ascii="Times New Roman" w:hAnsi="Times New Roman" w:cs="Times New Roman"/>
          <w:lang w:val="en-GB"/>
        </w:rPr>
        <w:t>to support its narrow</w:t>
      </w:r>
      <w:r w:rsidR="00D71471" w:rsidRPr="00D34627">
        <w:rPr>
          <w:rFonts w:ascii="Times New Roman" w:hAnsi="Times New Roman" w:cs="Times New Roman"/>
          <w:lang w:val="en-GB"/>
        </w:rPr>
        <w:t xml:space="preserve"> interpretation</w:t>
      </w:r>
      <w:r w:rsidR="00952F48" w:rsidRPr="00D34627">
        <w:rPr>
          <w:rFonts w:ascii="Times New Roman" w:hAnsi="Times New Roman" w:cs="Times New Roman"/>
          <w:lang w:val="en-GB"/>
        </w:rPr>
        <w:t xml:space="preserve"> of “acquiescence.”</w:t>
      </w:r>
      <w:r w:rsidR="00D71471" w:rsidRPr="00D34627">
        <w:rPr>
          <w:rFonts w:ascii="Times New Roman" w:hAnsi="Times New Roman" w:cs="Times New Roman"/>
          <w:lang w:val="en-GB"/>
        </w:rPr>
        <w:t xml:space="preserve"> </w:t>
      </w:r>
    </w:p>
    <w:p w14:paraId="7C7DC424" w14:textId="77777777" w:rsidR="00816A81" w:rsidRPr="00D34627" w:rsidRDefault="00816A81" w:rsidP="00C6613D">
      <w:pPr>
        <w:jc w:val="both"/>
        <w:rPr>
          <w:rFonts w:ascii="Times New Roman" w:hAnsi="Times New Roman" w:cs="Times New Roman"/>
          <w:lang w:val="en-GB"/>
        </w:rPr>
      </w:pPr>
    </w:p>
    <w:p w14:paraId="1912E18C" w14:textId="4318DB3A" w:rsidR="00D71471" w:rsidRPr="00D34627" w:rsidRDefault="00E446B7" w:rsidP="00C6613D">
      <w:pPr>
        <w:jc w:val="both"/>
        <w:rPr>
          <w:rFonts w:ascii="Times New Roman" w:hAnsi="Times New Roman" w:cs="Times New Roman"/>
          <w:lang w:val="en-GB"/>
        </w:rPr>
      </w:pPr>
      <w:r w:rsidRPr="00D34627">
        <w:rPr>
          <w:rFonts w:ascii="Times New Roman" w:hAnsi="Times New Roman" w:cs="Times New Roman"/>
          <w:lang w:val="en-GB"/>
        </w:rPr>
        <w:t>As the section below shows, C</w:t>
      </w:r>
      <w:r w:rsidR="00D71471" w:rsidRPr="00D34627">
        <w:rPr>
          <w:rFonts w:ascii="Times New Roman" w:hAnsi="Times New Roman" w:cs="Times New Roman"/>
          <w:lang w:val="en-GB"/>
        </w:rPr>
        <w:t>anada’s position</w:t>
      </w:r>
      <w:r w:rsidR="002E10F9" w:rsidRPr="00D34627">
        <w:rPr>
          <w:rFonts w:ascii="Times New Roman" w:hAnsi="Times New Roman" w:cs="Times New Roman"/>
          <w:lang w:val="en-GB"/>
        </w:rPr>
        <w:t xml:space="preserve"> </w:t>
      </w:r>
      <w:r w:rsidR="00D71471" w:rsidRPr="00D34627">
        <w:rPr>
          <w:rFonts w:ascii="Times New Roman" w:hAnsi="Times New Roman" w:cs="Times New Roman"/>
          <w:lang w:val="en-GB"/>
        </w:rPr>
        <w:t xml:space="preserve">runs afoul of not just the Committee’s </w:t>
      </w:r>
      <w:r w:rsidR="00C40135" w:rsidRPr="00D34627">
        <w:rPr>
          <w:rFonts w:ascii="Times New Roman" w:hAnsi="Times New Roman" w:cs="Times New Roman"/>
          <w:lang w:val="en-GB"/>
        </w:rPr>
        <w:t xml:space="preserve">interpretation </w:t>
      </w:r>
      <w:r w:rsidR="00D71471" w:rsidRPr="00D34627">
        <w:rPr>
          <w:rFonts w:ascii="Times New Roman" w:hAnsi="Times New Roman" w:cs="Times New Roman"/>
          <w:lang w:val="en-GB"/>
        </w:rPr>
        <w:t xml:space="preserve">of the Convention itself, but also that of </w:t>
      </w:r>
      <w:r w:rsidR="00626448" w:rsidRPr="00D34627">
        <w:rPr>
          <w:rFonts w:ascii="Times New Roman" w:hAnsi="Times New Roman" w:cs="Times New Roman"/>
          <w:lang w:val="en-GB"/>
        </w:rPr>
        <w:t>international law experts</w:t>
      </w:r>
      <w:r w:rsidR="00597DA1" w:rsidRPr="00D34627">
        <w:rPr>
          <w:rFonts w:ascii="Times New Roman" w:hAnsi="Times New Roman" w:cs="Times New Roman"/>
          <w:lang w:val="en-GB"/>
        </w:rPr>
        <w:t xml:space="preserve">, </w:t>
      </w:r>
      <w:r w:rsidR="00D71471" w:rsidRPr="00D34627">
        <w:rPr>
          <w:rFonts w:ascii="Times New Roman" w:hAnsi="Times New Roman" w:cs="Times New Roman"/>
          <w:lang w:val="en-GB"/>
        </w:rPr>
        <w:t>UN bodies</w:t>
      </w:r>
      <w:r w:rsidR="00721A94" w:rsidRPr="00D34627">
        <w:rPr>
          <w:rFonts w:ascii="Times New Roman" w:hAnsi="Times New Roman" w:cs="Times New Roman"/>
          <w:lang w:val="en-GB"/>
        </w:rPr>
        <w:t>,</w:t>
      </w:r>
      <w:r w:rsidR="00451D8A" w:rsidRPr="00D34627">
        <w:rPr>
          <w:rFonts w:ascii="Times New Roman" w:hAnsi="Times New Roman" w:cs="Times New Roman"/>
          <w:lang w:val="en-GB"/>
        </w:rPr>
        <w:t xml:space="preserve"> </w:t>
      </w:r>
      <w:r w:rsidR="00597DA1" w:rsidRPr="00D34627">
        <w:rPr>
          <w:rFonts w:ascii="Times New Roman" w:hAnsi="Times New Roman" w:cs="Times New Roman"/>
          <w:lang w:val="en-GB"/>
        </w:rPr>
        <w:t xml:space="preserve">and other </w:t>
      </w:r>
      <w:r w:rsidR="00DC1919" w:rsidRPr="00D34627">
        <w:rPr>
          <w:rFonts w:ascii="Times New Roman" w:hAnsi="Times New Roman" w:cs="Times New Roman"/>
          <w:lang w:val="en-GB"/>
        </w:rPr>
        <w:t xml:space="preserve">sources of international law that guide interpretation on the </w:t>
      </w:r>
      <w:r w:rsidR="00F72D87" w:rsidRPr="00D34627">
        <w:rPr>
          <w:rFonts w:ascii="Times New Roman" w:hAnsi="Times New Roman" w:cs="Times New Roman"/>
          <w:lang w:val="en-GB"/>
        </w:rPr>
        <w:t>s</w:t>
      </w:r>
      <w:r w:rsidR="00DC1919" w:rsidRPr="00D34627">
        <w:rPr>
          <w:rFonts w:ascii="Times New Roman" w:hAnsi="Times New Roman" w:cs="Times New Roman"/>
          <w:lang w:val="en-GB"/>
        </w:rPr>
        <w:t xml:space="preserve">tate of the law on </w:t>
      </w:r>
      <w:r w:rsidR="00721A94" w:rsidRPr="00D34627">
        <w:rPr>
          <w:rFonts w:ascii="Times New Roman" w:hAnsi="Times New Roman" w:cs="Times New Roman"/>
          <w:lang w:val="en-GB"/>
        </w:rPr>
        <w:t xml:space="preserve">gender-based violence and violence against women </w:t>
      </w:r>
      <w:r w:rsidR="00DC1919" w:rsidRPr="00D34627">
        <w:rPr>
          <w:rFonts w:ascii="Times New Roman" w:hAnsi="Times New Roman" w:cs="Times New Roman"/>
          <w:lang w:val="en-GB"/>
        </w:rPr>
        <w:t>as torture.</w:t>
      </w:r>
    </w:p>
    <w:p w14:paraId="2B9F2A65" w14:textId="77777777" w:rsidR="007B3299" w:rsidRPr="00D34627" w:rsidRDefault="007B3299" w:rsidP="00C6613D">
      <w:pPr>
        <w:jc w:val="both"/>
        <w:rPr>
          <w:rFonts w:ascii="Times New Roman" w:hAnsi="Times New Roman" w:cs="Times New Roman"/>
          <w:lang w:val="en-GB"/>
        </w:rPr>
      </w:pPr>
    </w:p>
    <w:p w14:paraId="4A61EF25" w14:textId="25F8CF84" w:rsidR="00A8407A" w:rsidRPr="00D34627" w:rsidRDefault="00A8407A" w:rsidP="00B450C8">
      <w:pPr>
        <w:pStyle w:val="Style2"/>
        <w:rPr>
          <w:lang w:val="en-GB"/>
        </w:rPr>
      </w:pPr>
      <w:r w:rsidRPr="00D34627">
        <w:rPr>
          <w:lang w:val="en-GB"/>
        </w:rPr>
        <w:t xml:space="preserve">Support </w:t>
      </w:r>
      <w:r w:rsidR="0086312A" w:rsidRPr="00D34627">
        <w:rPr>
          <w:lang w:val="en-GB"/>
        </w:rPr>
        <w:t xml:space="preserve">for the position advanced by the Committee and </w:t>
      </w:r>
      <w:r w:rsidR="00721A94" w:rsidRPr="00D34627">
        <w:rPr>
          <w:lang w:val="en-GB"/>
        </w:rPr>
        <w:t>Amnesty</w:t>
      </w:r>
      <w:r w:rsidR="009A2C6E">
        <w:rPr>
          <w:lang w:val="en-GB"/>
        </w:rPr>
        <w:t xml:space="preserve"> International</w:t>
      </w:r>
    </w:p>
    <w:p w14:paraId="49BA6A4B" w14:textId="77777777" w:rsidR="0086312A" w:rsidRPr="00D34627" w:rsidRDefault="0086312A" w:rsidP="00C6613D">
      <w:pPr>
        <w:jc w:val="both"/>
        <w:rPr>
          <w:rFonts w:ascii="Times New Roman" w:hAnsi="Times New Roman" w:cs="Times New Roman"/>
          <w:lang w:val="en-GB"/>
        </w:rPr>
      </w:pPr>
    </w:p>
    <w:p w14:paraId="02EF05A9" w14:textId="7A44924F" w:rsidR="00721A94" w:rsidRPr="00D34627" w:rsidRDefault="00721A94" w:rsidP="002F7B6B">
      <w:pPr>
        <w:jc w:val="both"/>
        <w:rPr>
          <w:rFonts w:ascii="Times New Roman" w:hAnsi="Times New Roman" w:cs="Times New Roman"/>
          <w:lang w:val="en-GB"/>
        </w:rPr>
      </w:pPr>
      <w:r w:rsidRPr="00D34627">
        <w:rPr>
          <w:rFonts w:ascii="Times New Roman" w:hAnsi="Times New Roman" w:cs="Times New Roman"/>
          <w:lang w:val="en-GB"/>
        </w:rPr>
        <w:t>Amnesty</w:t>
      </w:r>
      <w:r w:rsidR="009A2C6E">
        <w:rPr>
          <w:rFonts w:ascii="Times New Roman" w:hAnsi="Times New Roman" w:cs="Times New Roman"/>
          <w:lang w:val="en-GB"/>
        </w:rPr>
        <w:t xml:space="preserve"> International</w:t>
      </w:r>
      <w:r w:rsidR="000C57DD" w:rsidRPr="00D34627">
        <w:rPr>
          <w:rFonts w:ascii="Times New Roman" w:hAnsi="Times New Roman" w:cs="Times New Roman"/>
          <w:lang w:val="en-GB"/>
        </w:rPr>
        <w:t xml:space="preserve"> submits that</w:t>
      </w:r>
      <w:r w:rsidR="009A2C6E">
        <w:rPr>
          <w:rFonts w:ascii="Times New Roman" w:hAnsi="Times New Roman" w:cs="Times New Roman"/>
          <w:lang w:val="en-GB"/>
        </w:rPr>
        <w:t xml:space="preserve"> Canada’</w:t>
      </w:r>
      <w:r w:rsidR="002F7B6B">
        <w:rPr>
          <w:rFonts w:ascii="Times New Roman" w:hAnsi="Times New Roman" w:cs="Times New Roman"/>
          <w:lang w:val="en-GB"/>
        </w:rPr>
        <w:t>s</w:t>
      </w:r>
      <w:r w:rsidR="009A2C6E">
        <w:rPr>
          <w:rFonts w:ascii="Times New Roman" w:hAnsi="Times New Roman" w:cs="Times New Roman"/>
          <w:lang w:val="en-GB"/>
        </w:rPr>
        <w:t xml:space="preserve"> attempt to</w:t>
      </w:r>
      <w:r w:rsidR="000C57DD" w:rsidRPr="00D34627">
        <w:rPr>
          <w:rFonts w:ascii="Times New Roman" w:hAnsi="Times New Roman" w:cs="Times New Roman"/>
          <w:lang w:val="en-GB"/>
        </w:rPr>
        <w:t xml:space="preserve"> narrow the scope of </w:t>
      </w:r>
      <w:r w:rsidR="001D0C83">
        <w:rPr>
          <w:rFonts w:ascii="Times New Roman" w:hAnsi="Times New Roman" w:cs="Times New Roman"/>
          <w:lang w:val="en-GB"/>
        </w:rPr>
        <w:t>a</w:t>
      </w:r>
      <w:r w:rsidR="000C57DD" w:rsidRPr="00D34627">
        <w:rPr>
          <w:rFonts w:ascii="Times New Roman" w:hAnsi="Times New Roman" w:cs="Times New Roman"/>
          <w:lang w:val="en-GB"/>
        </w:rPr>
        <w:t>rticle</w:t>
      </w:r>
      <w:r w:rsidR="009A2C6E">
        <w:rPr>
          <w:rFonts w:ascii="Times New Roman" w:hAnsi="Times New Roman" w:cs="Times New Roman"/>
          <w:lang w:val="en-GB"/>
        </w:rPr>
        <w:t>s 1 and 16</w:t>
      </w:r>
      <w:r w:rsidR="000C57DD" w:rsidRPr="00D34627">
        <w:rPr>
          <w:rFonts w:ascii="Times New Roman" w:hAnsi="Times New Roman" w:cs="Times New Roman"/>
          <w:lang w:val="en-GB"/>
        </w:rPr>
        <w:t xml:space="preserve"> to exclude violence against women </w:t>
      </w:r>
      <w:r w:rsidRPr="00D34627">
        <w:rPr>
          <w:rFonts w:ascii="Times New Roman" w:hAnsi="Times New Roman" w:cs="Times New Roman"/>
          <w:lang w:val="en-GB"/>
        </w:rPr>
        <w:t xml:space="preserve">and </w:t>
      </w:r>
      <w:r w:rsidR="009A2C6E">
        <w:rPr>
          <w:rFonts w:ascii="Times New Roman" w:hAnsi="Times New Roman" w:cs="Times New Roman"/>
          <w:lang w:val="en-GB"/>
        </w:rPr>
        <w:t xml:space="preserve">other </w:t>
      </w:r>
      <w:r w:rsidRPr="00D34627">
        <w:rPr>
          <w:rFonts w:ascii="Times New Roman" w:hAnsi="Times New Roman" w:cs="Times New Roman"/>
          <w:lang w:val="en-GB"/>
        </w:rPr>
        <w:t>gender-based violence</w:t>
      </w:r>
      <w:r w:rsidR="009A2C6E">
        <w:rPr>
          <w:rFonts w:ascii="Times New Roman" w:hAnsi="Times New Roman" w:cs="Times New Roman"/>
          <w:lang w:val="en-GB"/>
        </w:rPr>
        <w:t xml:space="preserve"> by non-state actors</w:t>
      </w:r>
      <w:r w:rsidRPr="00D34627">
        <w:rPr>
          <w:rFonts w:ascii="Times New Roman" w:hAnsi="Times New Roman" w:cs="Times New Roman"/>
          <w:lang w:val="en-GB"/>
        </w:rPr>
        <w:t xml:space="preserve"> </w:t>
      </w:r>
      <w:r w:rsidR="009A2C6E">
        <w:rPr>
          <w:rFonts w:ascii="Times New Roman" w:hAnsi="Times New Roman" w:cs="Times New Roman"/>
          <w:lang w:val="en-GB"/>
        </w:rPr>
        <w:t>reflects</w:t>
      </w:r>
      <w:r w:rsidR="000C57DD" w:rsidRPr="00D34627">
        <w:rPr>
          <w:rFonts w:ascii="Times New Roman" w:hAnsi="Times New Roman" w:cs="Times New Roman"/>
          <w:lang w:val="en-GB"/>
        </w:rPr>
        <w:t xml:space="preserve"> a significant misunderstanding of the state of </w:t>
      </w:r>
      <w:r w:rsidR="009A2C6E">
        <w:rPr>
          <w:rFonts w:ascii="Times New Roman" w:hAnsi="Times New Roman" w:cs="Times New Roman"/>
          <w:lang w:val="en-GB"/>
        </w:rPr>
        <w:t>international human rights</w:t>
      </w:r>
      <w:r w:rsidR="009A2C6E" w:rsidRPr="00D34627">
        <w:rPr>
          <w:rFonts w:ascii="Times New Roman" w:hAnsi="Times New Roman" w:cs="Times New Roman"/>
          <w:lang w:val="en-GB"/>
        </w:rPr>
        <w:t xml:space="preserve"> </w:t>
      </w:r>
      <w:r w:rsidR="000C57DD" w:rsidRPr="00D34627">
        <w:rPr>
          <w:rFonts w:ascii="Times New Roman" w:hAnsi="Times New Roman" w:cs="Times New Roman"/>
          <w:lang w:val="en-GB"/>
        </w:rPr>
        <w:t>law</w:t>
      </w:r>
      <w:r w:rsidR="00E6120C" w:rsidRPr="00D34627">
        <w:rPr>
          <w:rFonts w:ascii="Times New Roman" w:hAnsi="Times New Roman" w:cs="Times New Roman"/>
          <w:lang w:val="en-GB"/>
        </w:rPr>
        <w:t xml:space="preserve"> on</w:t>
      </w:r>
      <w:r w:rsidR="009A2C6E">
        <w:rPr>
          <w:rFonts w:ascii="Times New Roman" w:hAnsi="Times New Roman" w:cs="Times New Roman"/>
          <w:lang w:val="en-GB"/>
        </w:rPr>
        <w:t xml:space="preserve"> this matter</w:t>
      </w:r>
      <w:r w:rsidR="000C57DD" w:rsidRPr="00D34627">
        <w:rPr>
          <w:rFonts w:ascii="Times New Roman" w:hAnsi="Times New Roman" w:cs="Times New Roman"/>
          <w:lang w:val="en-GB"/>
        </w:rPr>
        <w:t>.</w:t>
      </w:r>
      <w:r w:rsidR="00E7292A" w:rsidRPr="00D34627">
        <w:rPr>
          <w:rFonts w:ascii="Times New Roman" w:hAnsi="Times New Roman" w:cs="Times New Roman"/>
          <w:lang w:val="en-GB"/>
        </w:rPr>
        <w:t xml:space="preserve"> </w:t>
      </w:r>
      <w:r w:rsidR="00E6120C" w:rsidRPr="00D34627">
        <w:rPr>
          <w:rFonts w:ascii="Times New Roman" w:hAnsi="Times New Roman" w:cs="Times New Roman"/>
          <w:lang w:val="en-GB"/>
        </w:rPr>
        <w:t>A narrow</w:t>
      </w:r>
      <w:r w:rsidR="00E7292A" w:rsidRPr="00D34627">
        <w:rPr>
          <w:rFonts w:ascii="Times New Roman" w:hAnsi="Times New Roman" w:cs="Times New Roman"/>
          <w:lang w:val="en-GB"/>
        </w:rPr>
        <w:t xml:space="preserve"> interpretation is out of step not just with the Committee</w:t>
      </w:r>
      <w:r w:rsidR="00D922D9" w:rsidRPr="00D34627">
        <w:rPr>
          <w:rFonts w:ascii="Times New Roman" w:hAnsi="Times New Roman" w:cs="Times New Roman"/>
          <w:lang w:val="en-GB"/>
        </w:rPr>
        <w:t>’s endorsement of the due diligence framework</w:t>
      </w:r>
      <w:r w:rsidR="00E7292A" w:rsidRPr="00D34627">
        <w:rPr>
          <w:rFonts w:ascii="Times New Roman" w:hAnsi="Times New Roman" w:cs="Times New Roman"/>
          <w:lang w:val="en-GB"/>
        </w:rPr>
        <w:t xml:space="preserve"> itself</w:t>
      </w:r>
      <w:r w:rsidR="00D33840">
        <w:rPr>
          <w:rFonts w:ascii="Times New Roman" w:hAnsi="Times New Roman" w:cs="Times New Roman"/>
          <w:lang w:val="en-GB"/>
        </w:rPr>
        <w:t xml:space="preserve">, </w:t>
      </w:r>
      <w:r w:rsidR="00666869" w:rsidRPr="00D34627">
        <w:rPr>
          <w:rStyle w:val="FootnoteReference"/>
          <w:rFonts w:ascii="Times New Roman" w:hAnsi="Times New Roman" w:cs="Times New Roman"/>
          <w:lang w:val="en-GB"/>
        </w:rPr>
        <w:footnoteReference w:id="18"/>
      </w:r>
      <w:r w:rsidR="00E7292A" w:rsidRPr="00D34627">
        <w:rPr>
          <w:rFonts w:ascii="Times New Roman" w:hAnsi="Times New Roman" w:cs="Times New Roman"/>
          <w:lang w:val="en-GB"/>
        </w:rPr>
        <w:t xml:space="preserve"> </w:t>
      </w:r>
      <w:r w:rsidR="00E7292A" w:rsidRPr="00CB75EB">
        <w:rPr>
          <w:rFonts w:ascii="Times New Roman" w:hAnsi="Times New Roman" w:cs="Times New Roman"/>
          <w:lang w:val="en-GB"/>
        </w:rPr>
        <w:t>but</w:t>
      </w:r>
      <w:r w:rsidR="00E7292A" w:rsidRPr="00D34627">
        <w:rPr>
          <w:rFonts w:ascii="Times New Roman" w:hAnsi="Times New Roman" w:cs="Times New Roman"/>
          <w:lang w:val="en-GB"/>
        </w:rPr>
        <w:t xml:space="preserve"> with international law at large.</w:t>
      </w:r>
      <w:r w:rsidR="000D3DFA" w:rsidRPr="00D34627">
        <w:rPr>
          <w:rFonts w:ascii="Times New Roman" w:hAnsi="Times New Roman" w:cs="Times New Roman"/>
          <w:lang w:val="en-GB"/>
        </w:rPr>
        <w:t xml:space="preserve"> </w:t>
      </w:r>
    </w:p>
    <w:p w14:paraId="1BB17E07" w14:textId="1421F150" w:rsidR="00721A94" w:rsidRPr="00D34627" w:rsidRDefault="00721A94" w:rsidP="00C6613D">
      <w:pPr>
        <w:jc w:val="both"/>
        <w:rPr>
          <w:rFonts w:ascii="Times New Roman" w:hAnsi="Times New Roman" w:cs="Times New Roman"/>
          <w:lang w:val="en-GB"/>
        </w:rPr>
      </w:pPr>
    </w:p>
    <w:p w14:paraId="753343FB" w14:textId="50AF19D5" w:rsidR="002867DB" w:rsidRPr="00D34627" w:rsidRDefault="002867DB" w:rsidP="00597F6B">
      <w:pPr>
        <w:pStyle w:val="Style3"/>
        <w:ind w:left="1134" w:hanging="774"/>
        <w:rPr>
          <w:lang w:val="en-GB"/>
        </w:rPr>
      </w:pPr>
      <w:r w:rsidRPr="00D34627">
        <w:rPr>
          <w:lang w:val="en-GB"/>
        </w:rPr>
        <w:t>The due diligence framework</w:t>
      </w:r>
    </w:p>
    <w:p w14:paraId="2E67F933" w14:textId="77777777" w:rsidR="002867DB" w:rsidRPr="00D34627" w:rsidRDefault="002867DB" w:rsidP="00C6613D">
      <w:pPr>
        <w:jc w:val="both"/>
        <w:rPr>
          <w:rFonts w:ascii="Times New Roman" w:hAnsi="Times New Roman" w:cs="Times New Roman"/>
          <w:lang w:val="en-GB"/>
        </w:rPr>
      </w:pPr>
    </w:p>
    <w:p w14:paraId="6E684C8E" w14:textId="0065AB4F" w:rsidR="00721A94" w:rsidRPr="00D34627" w:rsidRDefault="00721A94" w:rsidP="00606123">
      <w:pPr>
        <w:jc w:val="both"/>
        <w:rPr>
          <w:rFonts w:ascii="Times New Roman" w:hAnsi="Times New Roman" w:cs="Times New Roman"/>
          <w:lang w:val="en-GB"/>
        </w:rPr>
      </w:pPr>
      <w:r w:rsidRPr="00D34627">
        <w:rPr>
          <w:rFonts w:ascii="Times New Roman" w:hAnsi="Times New Roman" w:cs="Times New Roman"/>
          <w:lang w:val="en-GB"/>
        </w:rPr>
        <w:t>Due diligence</w:t>
      </w:r>
      <w:r w:rsidR="002B6FD4" w:rsidRPr="00D34627">
        <w:rPr>
          <w:rFonts w:ascii="Times New Roman" w:hAnsi="Times New Roman" w:cs="Times New Roman"/>
          <w:lang w:val="en-GB"/>
        </w:rPr>
        <w:t xml:space="preserve"> </w:t>
      </w:r>
      <w:r w:rsidRPr="00D34627">
        <w:rPr>
          <w:rFonts w:ascii="Times New Roman" w:hAnsi="Times New Roman" w:cs="Times New Roman"/>
          <w:lang w:val="en-GB"/>
        </w:rPr>
        <w:t>—</w:t>
      </w:r>
      <w:r w:rsidR="002B6FD4" w:rsidRPr="00D34627">
        <w:rPr>
          <w:rFonts w:ascii="Times New Roman" w:hAnsi="Times New Roman" w:cs="Times New Roman"/>
          <w:lang w:val="en-GB"/>
        </w:rPr>
        <w:t xml:space="preserve"> </w:t>
      </w:r>
      <w:r w:rsidRPr="00D34627">
        <w:rPr>
          <w:rFonts w:ascii="Times New Roman" w:hAnsi="Times New Roman" w:cs="Times New Roman"/>
          <w:lang w:val="en-GB"/>
        </w:rPr>
        <w:t>the State responsibility to take every reasonable precaution to prevent</w:t>
      </w:r>
      <w:r w:rsidR="00674B3B">
        <w:rPr>
          <w:rFonts w:ascii="Times New Roman" w:hAnsi="Times New Roman" w:cs="Times New Roman"/>
          <w:lang w:val="en-GB"/>
        </w:rPr>
        <w:t>, stop, punish and ensure remedies for</w:t>
      </w:r>
      <w:r w:rsidRPr="00D34627">
        <w:rPr>
          <w:rFonts w:ascii="Times New Roman" w:hAnsi="Times New Roman" w:cs="Times New Roman"/>
          <w:lang w:val="en-GB"/>
        </w:rPr>
        <w:t xml:space="preserve"> human rights violations</w:t>
      </w:r>
      <w:r w:rsidR="002B6FD4" w:rsidRPr="00D34627">
        <w:rPr>
          <w:rFonts w:ascii="Times New Roman" w:hAnsi="Times New Roman" w:cs="Times New Roman"/>
          <w:lang w:val="en-GB"/>
        </w:rPr>
        <w:t xml:space="preserve"> </w:t>
      </w:r>
      <w:r w:rsidRPr="00D34627">
        <w:rPr>
          <w:rFonts w:ascii="Times New Roman" w:hAnsi="Times New Roman" w:cs="Times New Roman"/>
          <w:lang w:val="en-GB"/>
        </w:rPr>
        <w:t>—</w:t>
      </w:r>
      <w:r w:rsidR="002B6FD4" w:rsidRPr="00D34627">
        <w:rPr>
          <w:rFonts w:ascii="Times New Roman" w:hAnsi="Times New Roman" w:cs="Times New Roman"/>
          <w:lang w:val="en-GB"/>
        </w:rPr>
        <w:t xml:space="preserve"> </w:t>
      </w:r>
      <w:r w:rsidRPr="00D34627">
        <w:rPr>
          <w:rFonts w:ascii="Times New Roman" w:hAnsi="Times New Roman" w:cs="Times New Roman"/>
          <w:lang w:val="en-GB"/>
        </w:rPr>
        <w:t xml:space="preserve">has a specific characterization in the </w:t>
      </w:r>
      <w:r w:rsidRPr="00D34627">
        <w:rPr>
          <w:rFonts w:ascii="Times New Roman" w:hAnsi="Times New Roman" w:cs="Times New Roman"/>
          <w:lang w:val="en-GB"/>
        </w:rPr>
        <w:lastRenderedPageBreak/>
        <w:t>context of violence against women</w:t>
      </w:r>
      <w:r w:rsidR="00674B3B">
        <w:rPr>
          <w:rFonts w:ascii="Times New Roman" w:hAnsi="Times New Roman" w:cs="Times New Roman"/>
          <w:lang w:val="en-GB"/>
        </w:rPr>
        <w:t xml:space="preserve"> by non-state actors</w:t>
      </w:r>
      <w:r w:rsidRPr="00D34627">
        <w:rPr>
          <w:rFonts w:ascii="Times New Roman" w:hAnsi="Times New Roman" w:cs="Times New Roman"/>
          <w:lang w:val="en-GB"/>
        </w:rPr>
        <w:t xml:space="preserve"> that is now so well-established and widely accepted that it is considered a </w:t>
      </w:r>
      <w:r w:rsidR="00606123">
        <w:rPr>
          <w:rFonts w:ascii="Times New Roman" w:hAnsi="Times New Roman" w:cs="Times New Roman"/>
          <w:lang w:val="en-GB"/>
        </w:rPr>
        <w:t>rule</w:t>
      </w:r>
      <w:r w:rsidR="00606123" w:rsidRPr="00D34627">
        <w:rPr>
          <w:rFonts w:ascii="Times New Roman" w:hAnsi="Times New Roman" w:cs="Times New Roman"/>
          <w:lang w:val="en-GB"/>
        </w:rPr>
        <w:t xml:space="preserve"> </w:t>
      </w:r>
      <w:r w:rsidRPr="00D34627">
        <w:rPr>
          <w:rFonts w:ascii="Times New Roman" w:hAnsi="Times New Roman" w:cs="Times New Roman"/>
          <w:lang w:val="en-GB"/>
        </w:rPr>
        <w:t>of customary international</w:t>
      </w:r>
      <w:r w:rsidR="00417675">
        <w:rPr>
          <w:rFonts w:ascii="Times New Roman" w:hAnsi="Times New Roman" w:cs="Times New Roman"/>
          <w:lang w:val="en-GB"/>
        </w:rPr>
        <w:t xml:space="preserve"> law</w:t>
      </w:r>
      <w:r w:rsidRPr="00D34627">
        <w:rPr>
          <w:rFonts w:ascii="Times New Roman" w:hAnsi="Times New Roman" w:cs="Times New Roman"/>
          <w:lang w:val="en-GB"/>
        </w:rPr>
        <w:t>.</w:t>
      </w:r>
      <w:bookmarkStart w:id="4" w:name="_Ref530053729"/>
      <w:r w:rsidRPr="00D34627">
        <w:rPr>
          <w:rStyle w:val="FootnoteReference"/>
          <w:rFonts w:ascii="Times New Roman" w:hAnsi="Times New Roman" w:cs="Times New Roman"/>
          <w:lang w:val="en-GB"/>
        </w:rPr>
        <w:footnoteReference w:id="19"/>
      </w:r>
      <w:bookmarkEnd w:id="4"/>
    </w:p>
    <w:p w14:paraId="26AB9D1F" w14:textId="77777777" w:rsidR="00721A94" w:rsidRPr="00D34627" w:rsidRDefault="00721A94" w:rsidP="00C6613D">
      <w:pPr>
        <w:jc w:val="both"/>
        <w:rPr>
          <w:rFonts w:ascii="Times New Roman" w:hAnsi="Times New Roman" w:cs="Times New Roman"/>
          <w:lang w:val="en-GB"/>
        </w:rPr>
      </w:pPr>
    </w:p>
    <w:p w14:paraId="324DC538" w14:textId="3054D2C5" w:rsidR="00721A94" w:rsidRPr="00D34627" w:rsidRDefault="009E58D8" w:rsidP="00C6613D">
      <w:pPr>
        <w:jc w:val="both"/>
        <w:rPr>
          <w:rFonts w:ascii="Times New Roman" w:hAnsi="Times New Roman" w:cs="Times New Roman"/>
          <w:lang w:val="en-GB"/>
        </w:rPr>
      </w:pPr>
      <w:r w:rsidRPr="00D34627">
        <w:rPr>
          <w:rFonts w:ascii="Times New Roman" w:hAnsi="Times New Roman" w:cs="Times New Roman"/>
          <w:lang w:val="en-GB"/>
        </w:rPr>
        <w:t xml:space="preserve">The due diligence framework is well established across international </w:t>
      </w:r>
      <w:r w:rsidR="00606123">
        <w:rPr>
          <w:rFonts w:ascii="Times New Roman" w:hAnsi="Times New Roman" w:cs="Times New Roman"/>
          <w:lang w:val="en-GB"/>
        </w:rPr>
        <w:t xml:space="preserve">human rights </w:t>
      </w:r>
      <w:r w:rsidRPr="00D34627">
        <w:rPr>
          <w:rFonts w:ascii="Times New Roman" w:hAnsi="Times New Roman" w:cs="Times New Roman"/>
          <w:lang w:val="en-GB"/>
        </w:rPr>
        <w:t xml:space="preserve">treaty mechanisms. </w:t>
      </w:r>
      <w:r w:rsidR="00721A94" w:rsidRPr="00D34627">
        <w:rPr>
          <w:rFonts w:ascii="Times New Roman" w:hAnsi="Times New Roman" w:cs="Times New Roman"/>
          <w:lang w:val="en-GB"/>
        </w:rPr>
        <w:t xml:space="preserve">Laid out in </w:t>
      </w:r>
      <w:r w:rsidR="001D0C83">
        <w:rPr>
          <w:rFonts w:ascii="Times New Roman" w:hAnsi="Times New Roman" w:cs="Times New Roman"/>
          <w:lang w:val="en-GB"/>
        </w:rPr>
        <w:t>a</w:t>
      </w:r>
      <w:r w:rsidR="00721A94" w:rsidRPr="00D34627">
        <w:rPr>
          <w:rFonts w:ascii="Times New Roman" w:hAnsi="Times New Roman" w:cs="Times New Roman"/>
          <w:lang w:val="en-GB"/>
        </w:rPr>
        <w:t xml:space="preserve">rticle 4(c) of the </w:t>
      </w:r>
      <w:r w:rsidR="00721A94" w:rsidRPr="00D34627">
        <w:rPr>
          <w:rFonts w:ascii="Times New Roman" w:hAnsi="Times New Roman" w:cs="Times New Roman"/>
          <w:i/>
          <w:lang w:val="en-GB"/>
        </w:rPr>
        <w:t>Declaration on the Elimination of Violence Against Women</w:t>
      </w:r>
      <w:r w:rsidR="00721A94" w:rsidRPr="00D34627">
        <w:rPr>
          <w:rFonts w:ascii="Times New Roman" w:hAnsi="Times New Roman" w:cs="Times New Roman"/>
          <w:lang w:val="en-GB"/>
        </w:rPr>
        <w:t xml:space="preserve"> (1993), the standard for due diligence in the context of </w:t>
      </w:r>
      <w:r w:rsidRPr="00D34627">
        <w:rPr>
          <w:rFonts w:ascii="Times New Roman" w:hAnsi="Times New Roman" w:cs="Times New Roman"/>
          <w:lang w:val="en-GB"/>
        </w:rPr>
        <w:t>violence against women</w:t>
      </w:r>
      <w:r w:rsidR="00721A94" w:rsidRPr="00D34627">
        <w:rPr>
          <w:rFonts w:ascii="Times New Roman" w:hAnsi="Times New Roman" w:cs="Times New Roman"/>
          <w:lang w:val="en-GB"/>
        </w:rPr>
        <w:t xml:space="preserve"> requires States to “exercise due diligence to prevent, investigate and, in accordance with national legislation, punish acts of violence against women, whether those acts are perpetrated by the State or by private persons.”</w:t>
      </w:r>
      <w:r w:rsidR="00721A94" w:rsidRPr="00D34627">
        <w:rPr>
          <w:rStyle w:val="FootnoteReference"/>
          <w:rFonts w:ascii="Times New Roman" w:hAnsi="Times New Roman" w:cs="Times New Roman"/>
          <w:lang w:val="en-GB"/>
        </w:rPr>
        <w:footnoteReference w:id="20"/>
      </w:r>
      <w:r w:rsidR="00721A94" w:rsidRPr="00D34627">
        <w:rPr>
          <w:rFonts w:ascii="Times New Roman" w:hAnsi="Times New Roman" w:cs="Times New Roman"/>
          <w:lang w:val="en-GB"/>
        </w:rPr>
        <w:t xml:space="preserve"> The UN Committee on the Elimination of Discrimination against Women (CEDAW) has clarified that “</w:t>
      </w:r>
      <w:r w:rsidR="00225C84" w:rsidRPr="00225C84">
        <w:rPr>
          <w:rFonts w:ascii="Times New Roman" w:hAnsi="Times New Roman" w:cs="Times New Roman"/>
          <w:lang w:val="en-GB"/>
        </w:rPr>
        <w:t>States parties will be responsible if they fail to take all appropriate measures to prevent as well as to investigate, prosecute, punish and provide reparation for acts or omissions by non-</w:t>
      </w:r>
      <w:r w:rsidR="00386AD4">
        <w:rPr>
          <w:rFonts w:ascii="Times New Roman" w:hAnsi="Times New Roman" w:cs="Times New Roman"/>
          <w:lang w:val="en-GB"/>
        </w:rPr>
        <w:t>s</w:t>
      </w:r>
      <w:r w:rsidR="00225C84" w:rsidRPr="00225C84">
        <w:rPr>
          <w:rFonts w:ascii="Times New Roman" w:hAnsi="Times New Roman" w:cs="Times New Roman"/>
          <w:lang w:val="en-GB"/>
        </w:rPr>
        <w:t>tate actors which result in gender-based violence against women.</w:t>
      </w:r>
      <w:r w:rsidR="00721A94" w:rsidRPr="00D34627">
        <w:rPr>
          <w:rFonts w:ascii="Times New Roman" w:hAnsi="Times New Roman" w:cs="Times New Roman"/>
          <w:lang w:val="en-GB"/>
        </w:rPr>
        <w:t>.”</w:t>
      </w:r>
      <w:r w:rsidR="00721A94" w:rsidRPr="00D34627">
        <w:rPr>
          <w:rStyle w:val="FootnoteReference"/>
          <w:rFonts w:ascii="Times New Roman" w:hAnsi="Times New Roman" w:cs="Times New Roman"/>
          <w:lang w:val="en-GB"/>
        </w:rPr>
        <w:footnoteReference w:id="21"/>
      </w:r>
      <w:r w:rsidR="00721A94" w:rsidRPr="00D34627">
        <w:rPr>
          <w:rFonts w:ascii="Times New Roman" w:hAnsi="Times New Roman" w:cs="Times New Roman"/>
          <w:lang w:val="en-GB"/>
        </w:rPr>
        <w:t xml:space="preserve"> </w:t>
      </w:r>
    </w:p>
    <w:p w14:paraId="03FB9019" w14:textId="49A1595C" w:rsidR="00721A94" w:rsidRPr="00D34627" w:rsidRDefault="00721A94" w:rsidP="00C6613D">
      <w:pPr>
        <w:jc w:val="both"/>
        <w:rPr>
          <w:rFonts w:ascii="Times New Roman" w:hAnsi="Times New Roman" w:cs="Times New Roman"/>
          <w:lang w:val="en-GB"/>
        </w:rPr>
      </w:pPr>
    </w:p>
    <w:p w14:paraId="4DEDF377" w14:textId="0F838F90" w:rsidR="00D6205E" w:rsidRPr="00D34627" w:rsidRDefault="00D6205E" w:rsidP="00597F6B">
      <w:pPr>
        <w:pStyle w:val="Style3"/>
        <w:ind w:left="1134" w:hanging="774"/>
        <w:rPr>
          <w:lang w:val="en-GB"/>
        </w:rPr>
      </w:pPr>
      <w:r w:rsidRPr="00D34627">
        <w:rPr>
          <w:lang w:val="en-GB"/>
        </w:rPr>
        <w:t xml:space="preserve">The due diligence framework in the context of </w:t>
      </w:r>
      <w:r w:rsidR="00DD774E">
        <w:rPr>
          <w:lang w:val="en-GB"/>
        </w:rPr>
        <w:t>I</w:t>
      </w:r>
      <w:r w:rsidRPr="00D34627">
        <w:rPr>
          <w:lang w:val="en-GB"/>
        </w:rPr>
        <w:t>ndigenous women and girls</w:t>
      </w:r>
    </w:p>
    <w:p w14:paraId="2778354C" w14:textId="77777777" w:rsidR="00D6205E" w:rsidRPr="00D34627" w:rsidRDefault="00D6205E" w:rsidP="00C6613D">
      <w:pPr>
        <w:jc w:val="both"/>
        <w:rPr>
          <w:rFonts w:ascii="Times New Roman" w:hAnsi="Times New Roman" w:cs="Times New Roman"/>
          <w:lang w:val="en-GB"/>
        </w:rPr>
      </w:pPr>
    </w:p>
    <w:p w14:paraId="6C93C2E4" w14:textId="73693FB7" w:rsidR="00721A94" w:rsidRPr="00D34627" w:rsidRDefault="00721A94" w:rsidP="00C6613D">
      <w:pPr>
        <w:jc w:val="both"/>
        <w:rPr>
          <w:rFonts w:ascii="Times New Roman" w:hAnsi="Times New Roman" w:cs="Times New Roman"/>
          <w:lang w:val="en-GB"/>
        </w:rPr>
      </w:pPr>
      <w:r w:rsidRPr="00D34627">
        <w:rPr>
          <w:rFonts w:ascii="Times New Roman" w:hAnsi="Times New Roman" w:cs="Times New Roman"/>
          <w:lang w:val="en-GB"/>
        </w:rPr>
        <w:t xml:space="preserve">The requirement of due diligence is even greater where, as in the case of Indigenous peoples in Canada, government actions have already harmed groups or individuals or put them in situations of heightened risk of further human rights violations. A </w:t>
      </w:r>
      <w:r w:rsidR="00CC38BF" w:rsidRPr="00D34627">
        <w:rPr>
          <w:rFonts w:ascii="Times New Roman" w:hAnsi="Times New Roman" w:cs="Times New Roman"/>
          <w:lang w:val="en-GB"/>
        </w:rPr>
        <w:t xml:space="preserve">research report for a </w:t>
      </w:r>
      <w:r w:rsidRPr="00D34627">
        <w:rPr>
          <w:rFonts w:ascii="Times New Roman" w:hAnsi="Times New Roman" w:cs="Times New Roman"/>
          <w:lang w:val="en-GB"/>
        </w:rPr>
        <w:t xml:space="preserve">British Columbia provincial inquiry into the disappearance and murder of marginalized women in Vancouver called attention to this heightened standard: “The State must be cognizant that certain groups of females, such as girls, poor women and Aboriginal women, may be even more vulnerable to these acts of violence and that </w:t>
      </w:r>
      <w:r w:rsidR="00CC38BF" w:rsidRPr="00D34627">
        <w:rPr>
          <w:rFonts w:ascii="Times New Roman" w:hAnsi="Times New Roman" w:cs="Times New Roman"/>
          <w:lang w:val="en-GB"/>
        </w:rPr>
        <w:t>[the State is]</w:t>
      </w:r>
      <w:r w:rsidRPr="00D34627">
        <w:rPr>
          <w:rFonts w:ascii="Times New Roman" w:hAnsi="Times New Roman" w:cs="Times New Roman"/>
          <w:lang w:val="en-GB"/>
        </w:rPr>
        <w:t>, therefore, under a heightened duty of due diligence vis-à-vis these groups.”</w:t>
      </w:r>
      <w:r w:rsidRPr="00D34627">
        <w:rPr>
          <w:rStyle w:val="FootnoteReference"/>
          <w:rFonts w:ascii="Times New Roman" w:hAnsi="Times New Roman" w:cs="Times New Roman"/>
          <w:lang w:val="en-GB"/>
        </w:rPr>
        <w:footnoteReference w:id="22"/>
      </w:r>
    </w:p>
    <w:p w14:paraId="469EDAA5" w14:textId="77777777" w:rsidR="00721A94" w:rsidRPr="00D34627" w:rsidRDefault="00721A94" w:rsidP="00C6613D">
      <w:pPr>
        <w:jc w:val="both"/>
        <w:rPr>
          <w:rFonts w:ascii="Times New Roman" w:hAnsi="Times New Roman" w:cs="Times New Roman"/>
          <w:lang w:val="en-GB"/>
        </w:rPr>
      </w:pPr>
    </w:p>
    <w:p w14:paraId="7BA8A4F4" w14:textId="63729DA9" w:rsidR="00721A94" w:rsidRPr="00D34627" w:rsidRDefault="00917D45" w:rsidP="00C41958">
      <w:pPr>
        <w:jc w:val="both"/>
        <w:rPr>
          <w:rFonts w:ascii="Times New Roman" w:hAnsi="Times New Roman" w:cs="Times New Roman"/>
          <w:lang w:val="en-GB"/>
        </w:rPr>
      </w:pPr>
      <w:r w:rsidRPr="00D34627">
        <w:rPr>
          <w:rFonts w:ascii="Times New Roman" w:hAnsi="Times New Roman" w:cs="Times New Roman"/>
          <w:lang w:val="en-GB"/>
        </w:rPr>
        <w:t>Amnesty</w:t>
      </w:r>
      <w:r w:rsidR="00C41958">
        <w:rPr>
          <w:rFonts w:ascii="Times New Roman" w:hAnsi="Times New Roman" w:cs="Times New Roman"/>
          <w:lang w:val="en-GB"/>
        </w:rPr>
        <w:t xml:space="preserve"> </w:t>
      </w:r>
      <w:r w:rsidR="00D2613B">
        <w:rPr>
          <w:rFonts w:ascii="Times New Roman" w:hAnsi="Times New Roman" w:cs="Times New Roman"/>
          <w:lang w:val="en-GB"/>
        </w:rPr>
        <w:t>I</w:t>
      </w:r>
      <w:r w:rsidR="00C41958">
        <w:rPr>
          <w:rFonts w:ascii="Times New Roman" w:hAnsi="Times New Roman" w:cs="Times New Roman"/>
          <w:lang w:val="en-GB"/>
        </w:rPr>
        <w:t>nternational</w:t>
      </w:r>
      <w:r w:rsidRPr="00D34627">
        <w:rPr>
          <w:rFonts w:ascii="Times New Roman" w:hAnsi="Times New Roman" w:cs="Times New Roman"/>
          <w:lang w:val="en-GB"/>
        </w:rPr>
        <w:t xml:space="preserve"> submits that i</w:t>
      </w:r>
      <w:r w:rsidR="00721A94" w:rsidRPr="00D34627">
        <w:rPr>
          <w:rFonts w:ascii="Times New Roman" w:hAnsi="Times New Roman" w:cs="Times New Roman"/>
          <w:lang w:val="en-GB"/>
        </w:rPr>
        <w:t xml:space="preserve">n decisions potentially affecting the rights of Indigenous peoples, </w:t>
      </w:r>
      <w:r w:rsidR="00C41958">
        <w:rPr>
          <w:rFonts w:ascii="Times New Roman" w:hAnsi="Times New Roman" w:cs="Times New Roman"/>
          <w:lang w:val="en-GB"/>
        </w:rPr>
        <w:t xml:space="preserve">the </w:t>
      </w:r>
      <w:r w:rsidR="00721A94" w:rsidRPr="00D34627">
        <w:rPr>
          <w:rFonts w:ascii="Times New Roman" w:hAnsi="Times New Roman" w:cs="Times New Roman"/>
          <w:lang w:val="en-GB"/>
        </w:rPr>
        <w:t>Canad</w:t>
      </w:r>
      <w:r w:rsidR="00C41958">
        <w:rPr>
          <w:rFonts w:ascii="Times New Roman" w:hAnsi="Times New Roman" w:cs="Times New Roman"/>
          <w:lang w:val="en-GB"/>
        </w:rPr>
        <w:t>i</w:t>
      </w:r>
      <w:r w:rsidR="00721A94" w:rsidRPr="00D34627">
        <w:rPr>
          <w:rFonts w:ascii="Times New Roman" w:hAnsi="Times New Roman" w:cs="Times New Roman"/>
          <w:lang w:val="en-GB"/>
        </w:rPr>
        <w:t>a</w:t>
      </w:r>
      <w:r w:rsidR="00C41958">
        <w:rPr>
          <w:rFonts w:ascii="Times New Roman" w:hAnsi="Times New Roman" w:cs="Times New Roman"/>
          <w:lang w:val="en-GB"/>
        </w:rPr>
        <w:t>n authorities</w:t>
      </w:r>
      <w:r w:rsidR="00721A94" w:rsidRPr="00D34627">
        <w:rPr>
          <w:rFonts w:ascii="Times New Roman" w:hAnsi="Times New Roman" w:cs="Times New Roman"/>
          <w:lang w:val="en-GB"/>
        </w:rPr>
        <w:t xml:space="preserve"> need to take account of the lasting harm created by such wrongs </w:t>
      </w:r>
      <w:r w:rsidR="00721A94" w:rsidRPr="00D34627">
        <w:rPr>
          <w:rFonts w:ascii="Times New Roman" w:hAnsi="Times New Roman" w:cs="Times New Roman"/>
          <w:lang w:val="en-GB"/>
        </w:rPr>
        <w:lastRenderedPageBreak/>
        <w:t>as the Residential School program,</w:t>
      </w:r>
      <w:r w:rsidR="00A94DBB">
        <w:rPr>
          <w:rStyle w:val="FootnoteReference"/>
          <w:rFonts w:ascii="Times New Roman" w:hAnsi="Times New Roman" w:cs="Times New Roman"/>
          <w:lang w:val="en-GB"/>
        </w:rPr>
        <w:footnoteReference w:id="23"/>
      </w:r>
      <w:r w:rsidR="00721A94" w:rsidRPr="00D34627">
        <w:rPr>
          <w:rFonts w:ascii="Times New Roman" w:hAnsi="Times New Roman" w:cs="Times New Roman"/>
          <w:lang w:val="en-GB"/>
        </w:rPr>
        <w:t xml:space="preserve"> the Sixties Scoop,</w:t>
      </w:r>
      <w:r w:rsidR="00EC6472">
        <w:rPr>
          <w:rStyle w:val="FootnoteReference"/>
          <w:rFonts w:ascii="Times New Roman" w:hAnsi="Times New Roman" w:cs="Times New Roman"/>
          <w:lang w:val="en-GB"/>
        </w:rPr>
        <w:footnoteReference w:id="24"/>
      </w:r>
      <w:r w:rsidR="00721A94" w:rsidRPr="00D34627">
        <w:rPr>
          <w:rFonts w:ascii="Times New Roman" w:hAnsi="Times New Roman" w:cs="Times New Roman"/>
          <w:lang w:val="en-GB"/>
        </w:rPr>
        <w:t xml:space="preserve"> and other efforts to forcefully assimilate Indigenous societies. </w:t>
      </w:r>
      <w:r w:rsidRPr="00D34627">
        <w:rPr>
          <w:rFonts w:ascii="Times New Roman" w:hAnsi="Times New Roman" w:cs="Times New Roman"/>
          <w:lang w:val="en-GB"/>
        </w:rPr>
        <w:t>The State must pay p</w:t>
      </w:r>
      <w:r w:rsidR="00721A94" w:rsidRPr="00D34627">
        <w:rPr>
          <w:rFonts w:ascii="Times New Roman" w:hAnsi="Times New Roman" w:cs="Times New Roman"/>
          <w:lang w:val="en-GB"/>
        </w:rPr>
        <w:t>articular attention to the fact that Indigenous women and girls in Canada face much higher rates of violence than other women and girls.</w:t>
      </w:r>
    </w:p>
    <w:p w14:paraId="323AE9C3" w14:textId="4E921F65" w:rsidR="007B3299" w:rsidRPr="00D34627" w:rsidRDefault="007B3299">
      <w:pPr>
        <w:rPr>
          <w:rFonts w:ascii="Times New Roman" w:hAnsi="Times New Roman" w:cs="Times New Roman"/>
          <w:u w:val="single"/>
          <w:lang w:val="en-GB"/>
        </w:rPr>
      </w:pPr>
    </w:p>
    <w:p w14:paraId="021E2BF6" w14:textId="142A34DE" w:rsidR="0074685A" w:rsidRPr="00D34627" w:rsidRDefault="0074685A" w:rsidP="00597F6B">
      <w:pPr>
        <w:pStyle w:val="Style3"/>
        <w:ind w:left="1134" w:hanging="774"/>
        <w:rPr>
          <w:lang w:val="en-GB"/>
        </w:rPr>
      </w:pPr>
      <w:r w:rsidRPr="00D34627">
        <w:rPr>
          <w:lang w:val="en-GB"/>
        </w:rPr>
        <w:t>International jurisprudence and expert opinion</w:t>
      </w:r>
    </w:p>
    <w:p w14:paraId="71658C6F" w14:textId="77777777" w:rsidR="00E05092" w:rsidRPr="00D34627" w:rsidRDefault="00E05092" w:rsidP="00C6613D">
      <w:pPr>
        <w:jc w:val="both"/>
        <w:rPr>
          <w:rFonts w:ascii="Times New Roman" w:hAnsi="Times New Roman" w:cs="Times New Roman"/>
          <w:lang w:val="en-GB"/>
        </w:rPr>
      </w:pPr>
    </w:p>
    <w:p w14:paraId="61BA0D4B" w14:textId="175B1F29" w:rsidR="00426B75" w:rsidRDefault="00391310" w:rsidP="00D55127">
      <w:pPr>
        <w:jc w:val="both"/>
        <w:rPr>
          <w:rFonts w:ascii="Times New Roman" w:hAnsi="Times New Roman" w:cs="Times New Roman"/>
          <w:lang w:val="en-GB"/>
        </w:rPr>
      </w:pPr>
      <w:r w:rsidRPr="00D34627">
        <w:rPr>
          <w:rFonts w:ascii="Times New Roman" w:hAnsi="Times New Roman" w:cs="Times New Roman"/>
          <w:lang w:val="en-GB"/>
        </w:rPr>
        <w:t>International law experts have also argued that domestic violence can</w:t>
      </w:r>
      <w:r w:rsidR="00940C21">
        <w:rPr>
          <w:rFonts w:ascii="Times New Roman" w:hAnsi="Times New Roman" w:cs="Times New Roman"/>
          <w:lang w:val="en-GB"/>
        </w:rPr>
        <w:t xml:space="preserve"> constitute</w:t>
      </w:r>
      <w:r w:rsidRPr="00D34627">
        <w:rPr>
          <w:rFonts w:ascii="Times New Roman" w:hAnsi="Times New Roman" w:cs="Times New Roman"/>
          <w:lang w:val="en-GB"/>
        </w:rPr>
        <w:t xml:space="preserve"> torture</w:t>
      </w:r>
      <w:r w:rsidR="00940C21">
        <w:rPr>
          <w:rFonts w:ascii="Times New Roman" w:hAnsi="Times New Roman" w:cs="Times New Roman"/>
          <w:lang w:val="en-GB"/>
        </w:rPr>
        <w:t xml:space="preserve"> or other cruel, inhuman or degrading treatment or punishment</w:t>
      </w:r>
      <w:r w:rsidRPr="00D34627">
        <w:rPr>
          <w:rFonts w:ascii="Times New Roman" w:hAnsi="Times New Roman" w:cs="Times New Roman"/>
          <w:lang w:val="en-GB"/>
        </w:rPr>
        <w:t>,</w:t>
      </w:r>
      <w:r w:rsidRPr="00D34627">
        <w:rPr>
          <w:rStyle w:val="FootnoteReference"/>
          <w:rFonts w:ascii="Times New Roman" w:hAnsi="Times New Roman" w:cs="Times New Roman"/>
          <w:lang w:val="en-GB"/>
        </w:rPr>
        <w:footnoteReference w:id="25"/>
      </w:r>
      <w:r w:rsidRPr="00D34627">
        <w:rPr>
          <w:rFonts w:ascii="Times New Roman" w:hAnsi="Times New Roman" w:cs="Times New Roman"/>
          <w:lang w:val="en-GB"/>
        </w:rPr>
        <w:t xml:space="preserve"> </w:t>
      </w:r>
      <w:r w:rsidR="00D747C0">
        <w:rPr>
          <w:rFonts w:ascii="Times New Roman" w:hAnsi="Times New Roman" w:cs="Times New Roman"/>
          <w:lang w:val="en-GB"/>
        </w:rPr>
        <w:t xml:space="preserve">both generally and </w:t>
      </w:r>
      <w:r w:rsidRPr="00D34627">
        <w:rPr>
          <w:rFonts w:ascii="Times New Roman" w:hAnsi="Times New Roman" w:cs="Times New Roman"/>
          <w:lang w:val="en-GB"/>
        </w:rPr>
        <w:t xml:space="preserve">with particular regard to Canada’s inaction on violence against </w:t>
      </w:r>
      <w:r w:rsidR="00721A94" w:rsidRPr="00D34627">
        <w:rPr>
          <w:rFonts w:ascii="Times New Roman" w:hAnsi="Times New Roman" w:cs="Times New Roman"/>
          <w:lang w:val="en-GB"/>
        </w:rPr>
        <w:t>I</w:t>
      </w:r>
      <w:r w:rsidRPr="00D34627">
        <w:rPr>
          <w:rFonts w:ascii="Times New Roman" w:hAnsi="Times New Roman" w:cs="Times New Roman"/>
          <w:lang w:val="en-GB"/>
        </w:rPr>
        <w:t>ndigenous women and girls.</w:t>
      </w:r>
      <w:r w:rsidRPr="00D34627">
        <w:rPr>
          <w:rStyle w:val="FootnoteReference"/>
          <w:rFonts w:ascii="Times New Roman" w:hAnsi="Times New Roman" w:cs="Times New Roman"/>
          <w:lang w:val="en-GB"/>
        </w:rPr>
        <w:footnoteReference w:id="26"/>
      </w:r>
      <w:r w:rsidR="00C700BA" w:rsidRPr="00C700BA">
        <w:rPr>
          <w:rFonts w:ascii="Times New Roman" w:hAnsi="Times New Roman" w:cs="Times New Roman"/>
          <w:lang w:val="en-GB"/>
        </w:rPr>
        <w:t xml:space="preserve"> In</w:t>
      </w:r>
      <w:r w:rsidR="00324764" w:rsidRPr="00C700BA">
        <w:rPr>
          <w:rFonts w:ascii="Times New Roman" w:hAnsi="Times New Roman" w:cs="Times New Roman"/>
          <w:lang w:val="en-GB"/>
        </w:rPr>
        <w:t>ternational jurisprudence</w:t>
      </w:r>
      <w:r w:rsidR="00324764" w:rsidRPr="00D34627">
        <w:rPr>
          <w:rFonts w:ascii="Times New Roman" w:hAnsi="Times New Roman" w:cs="Times New Roman"/>
          <w:lang w:val="en-GB"/>
        </w:rPr>
        <w:t xml:space="preserve"> has evolved to support the view that p</w:t>
      </w:r>
      <w:r w:rsidR="00152861" w:rsidRPr="00D34627">
        <w:rPr>
          <w:rFonts w:ascii="Times New Roman" w:hAnsi="Times New Roman" w:cs="Times New Roman"/>
          <w:lang w:val="en-GB"/>
        </w:rPr>
        <w:t>rivately inflicted gender</w:t>
      </w:r>
      <w:r w:rsidR="00E7292A" w:rsidRPr="00D34627">
        <w:rPr>
          <w:rFonts w:ascii="Times New Roman" w:hAnsi="Times New Roman" w:cs="Times New Roman"/>
          <w:lang w:val="en-GB"/>
        </w:rPr>
        <w:t>-</w:t>
      </w:r>
      <w:r w:rsidR="00152861" w:rsidRPr="00D34627">
        <w:rPr>
          <w:rFonts w:ascii="Times New Roman" w:hAnsi="Times New Roman" w:cs="Times New Roman"/>
          <w:lang w:val="en-GB"/>
        </w:rPr>
        <w:t xml:space="preserve">based violence </w:t>
      </w:r>
      <w:r w:rsidR="00324764" w:rsidRPr="00D34627">
        <w:rPr>
          <w:rFonts w:ascii="Times New Roman" w:hAnsi="Times New Roman" w:cs="Times New Roman"/>
          <w:lang w:val="en-GB"/>
        </w:rPr>
        <w:t xml:space="preserve">can </w:t>
      </w:r>
      <w:r w:rsidR="00AA3792" w:rsidRPr="00D34627">
        <w:rPr>
          <w:rFonts w:ascii="Times New Roman" w:hAnsi="Times New Roman" w:cs="Times New Roman"/>
          <w:lang w:val="en-GB"/>
        </w:rPr>
        <w:t>trigger State responsibility</w:t>
      </w:r>
      <w:r w:rsidR="00D747C0">
        <w:rPr>
          <w:rFonts w:ascii="Times New Roman" w:hAnsi="Times New Roman" w:cs="Times New Roman"/>
          <w:lang w:val="en-GB"/>
        </w:rPr>
        <w:t>, including for torture or other ill-treatment</w:t>
      </w:r>
      <w:r w:rsidR="00324764" w:rsidRPr="00D34627">
        <w:rPr>
          <w:rFonts w:ascii="Times New Roman" w:hAnsi="Times New Roman" w:cs="Times New Roman"/>
          <w:lang w:val="en-GB"/>
        </w:rPr>
        <w:t>.</w:t>
      </w:r>
      <w:r w:rsidR="00324764" w:rsidRPr="00D34627">
        <w:rPr>
          <w:rStyle w:val="FootnoteReference"/>
          <w:rFonts w:ascii="Times New Roman" w:hAnsi="Times New Roman" w:cs="Times New Roman"/>
          <w:lang w:val="en-GB"/>
        </w:rPr>
        <w:footnoteReference w:id="27"/>
      </w:r>
      <w:r w:rsidR="00324764" w:rsidRPr="00D34627">
        <w:rPr>
          <w:rFonts w:ascii="Times New Roman" w:hAnsi="Times New Roman" w:cs="Times New Roman"/>
          <w:lang w:val="en-GB"/>
        </w:rPr>
        <w:t xml:space="preserve"> </w:t>
      </w:r>
    </w:p>
    <w:p w14:paraId="5323886B" w14:textId="77777777" w:rsidR="00426B75" w:rsidRDefault="00426B75" w:rsidP="00D55127">
      <w:pPr>
        <w:jc w:val="both"/>
        <w:rPr>
          <w:rFonts w:ascii="Times New Roman" w:hAnsi="Times New Roman" w:cs="Times New Roman"/>
          <w:lang w:val="en-GB"/>
        </w:rPr>
      </w:pPr>
    </w:p>
    <w:p w14:paraId="38CAB66D" w14:textId="452746C7" w:rsidR="00426B75" w:rsidRDefault="00575FEE" w:rsidP="00D55127">
      <w:pPr>
        <w:jc w:val="both"/>
        <w:rPr>
          <w:rFonts w:ascii="Times New Roman" w:hAnsi="Times New Roman" w:cs="Times New Roman"/>
          <w:lang w:val="en-GB"/>
        </w:rPr>
      </w:pPr>
      <w:r>
        <w:rPr>
          <w:rFonts w:ascii="Times New Roman" w:hAnsi="Times New Roman" w:cs="Times New Roman"/>
          <w:lang w:val="en-GB"/>
        </w:rPr>
        <w:t>For instance, i</w:t>
      </w:r>
      <w:r w:rsidR="00D55127">
        <w:rPr>
          <w:rFonts w:ascii="Times New Roman" w:hAnsi="Times New Roman" w:cs="Times New Roman"/>
          <w:lang w:val="en-GB"/>
        </w:rPr>
        <w:t xml:space="preserve">n </w:t>
      </w:r>
      <w:proofErr w:type="spellStart"/>
      <w:r w:rsidR="00D55127">
        <w:rPr>
          <w:rFonts w:ascii="Times New Roman" w:hAnsi="Times New Roman" w:cs="Times New Roman"/>
          <w:i/>
          <w:lang w:val="en-GB"/>
        </w:rPr>
        <w:t>Opuz</w:t>
      </w:r>
      <w:proofErr w:type="spellEnd"/>
      <w:r w:rsidR="00D55127">
        <w:rPr>
          <w:rFonts w:ascii="Times New Roman" w:hAnsi="Times New Roman" w:cs="Times New Roman"/>
          <w:i/>
          <w:lang w:val="en-GB"/>
        </w:rPr>
        <w:t xml:space="preserve"> v Turkey</w:t>
      </w:r>
      <w:r w:rsidR="00D55127">
        <w:rPr>
          <w:rFonts w:ascii="Times New Roman" w:hAnsi="Times New Roman" w:cs="Times New Roman"/>
          <w:lang w:val="en-GB"/>
        </w:rPr>
        <w:t>,</w:t>
      </w:r>
      <w:r>
        <w:rPr>
          <w:rStyle w:val="FootnoteReference"/>
          <w:rFonts w:ascii="Times New Roman" w:hAnsi="Times New Roman" w:cs="Times New Roman"/>
          <w:lang w:val="en-GB"/>
        </w:rPr>
        <w:footnoteReference w:id="28"/>
      </w:r>
      <w:r w:rsidR="00D55127">
        <w:rPr>
          <w:rFonts w:ascii="Times New Roman" w:hAnsi="Times New Roman" w:cs="Times New Roman"/>
          <w:lang w:val="en-GB"/>
        </w:rPr>
        <w:t xml:space="preserve"> the European Court of Human Rights </w:t>
      </w:r>
      <w:r>
        <w:rPr>
          <w:rFonts w:ascii="Times New Roman" w:hAnsi="Times New Roman" w:cs="Times New Roman"/>
          <w:lang w:val="en-GB"/>
        </w:rPr>
        <w:t>considered the State of Turkey’s responsibility in a case where the husband of the applicant used violence since the beginning of the relationship, made death threats, and eventually killed the applicant’s mother. Turkish authorities did not intervene despite complaints, having deemed this a “family matter.”</w:t>
      </w:r>
      <w:r>
        <w:rPr>
          <w:rStyle w:val="FootnoteReference"/>
          <w:rFonts w:ascii="Times New Roman" w:hAnsi="Times New Roman" w:cs="Times New Roman"/>
          <w:lang w:val="en-GB"/>
        </w:rPr>
        <w:footnoteReference w:id="29"/>
      </w:r>
      <w:r>
        <w:rPr>
          <w:rFonts w:ascii="Times New Roman" w:hAnsi="Times New Roman" w:cs="Times New Roman"/>
          <w:lang w:val="en-GB"/>
        </w:rPr>
        <w:t xml:space="preserve"> The Court found this to be a violation of the State’s positive obligation to act with due diligence </w:t>
      </w:r>
      <w:r>
        <w:rPr>
          <w:rFonts w:ascii="Times New Roman" w:hAnsi="Times New Roman" w:cs="Times New Roman"/>
          <w:lang w:val="en-GB"/>
        </w:rPr>
        <w:lastRenderedPageBreak/>
        <w:t>to protect the right to life of the applicant’s mother since the authorities “knew or ought to have known”</w:t>
      </w:r>
      <w:r>
        <w:rPr>
          <w:rStyle w:val="FootnoteReference"/>
          <w:rFonts w:ascii="Times New Roman" w:hAnsi="Times New Roman" w:cs="Times New Roman"/>
          <w:lang w:val="en-GB"/>
        </w:rPr>
        <w:footnoteReference w:id="30"/>
      </w:r>
      <w:r>
        <w:rPr>
          <w:rFonts w:ascii="Times New Roman" w:hAnsi="Times New Roman" w:cs="Times New Roman"/>
          <w:lang w:val="en-GB"/>
        </w:rPr>
        <w:t xml:space="preserve"> of the immediate risk to her life at the hands of a third party (the husband).</w:t>
      </w:r>
      <w:r>
        <w:rPr>
          <w:rStyle w:val="FootnoteReference"/>
          <w:rFonts w:ascii="Times New Roman" w:hAnsi="Times New Roman" w:cs="Times New Roman"/>
          <w:lang w:val="en-GB"/>
        </w:rPr>
        <w:footnoteReference w:id="31"/>
      </w:r>
      <w:r w:rsidR="00D55127">
        <w:rPr>
          <w:rFonts w:ascii="Times New Roman" w:hAnsi="Times New Roman" w:cs="Times New Roman"/>
          <w:lang w:val="en-GB"/>
        </w:rPr>
        <w:t xml:space="preserve"> </w:t>
      </w:r>
    </w:p>
    <w:p w14:paraId="5458066D" w14:textId="77777777" w:rsidR="00426B75" w:rsidRDefault="00426B75" w:rsidP="00D55127">
      <w:pPr>
        <w:jc w:val="both"/>
        <w:rPr>
          <w:rFonts w:ascii="Times New Roman" w:hAnsi="Times New Roman" w:cs="Times New Roman"/>
          <w:lang w:val="en-GB"/>
        </w:rPr>
      </w:pPr>
    </w:p>
    <w:p w14:paraId="6CABE223" w14:textId="7182C51D" w:rsidR="00426B75" w:rsidRPr="00426B75" w:rsidRDefault="00426B75" w:rsidP="00D55127">
      <w:pPr>
        <w:jc w:val="both"/>
        <w:rPr>
          <w:rFonts w:ascii="Times New Roman" w:hAnsi="Times New Roman" w:cs="Times New Roman"/>
          <w:lang w:val="en-GB"/>
        </w:rPr>
      </w:pPr>
      <w:r>
        <w:rPr>
          <w:rFonts w:ascii="Times New Roman" w:hAnsi="Times New Roman" w:cs="Times New Roman"/>
          <w:lang w:val="en-GB"/>
        </w:rPr>
        <w:t xml:space="preserve">In </w:t>
      </w:r>
      <w:r>
        <w:rPr>
          <w:rFonts w:ascii="Times New Roman" w:hAnsi="Times New Roman" w:cs="Times New Roman"/>
          <w:i/>
          <w:lang w:val="en-GB"/>
        </w:rPr>
        <w:t>Z and Others v the United Kingdom</w:t>
      </w:r>
      <w:r>
        <w:rPr>
          <w:rFonts w:ascii="Times New Roman" w:hAnsi="Times New Roman" w:cs="Times New Roman"/>
          <w:lang w:val="en-GB"/>
        </w:rPr>
        <w:t xml:space="preserve">, the Court found that the children in that case were not effectively protected from abuse, </w:t>
      </w:r>
      <w:r w:rsidR="00DD774E">
        <w:rPr>
          <w:rFonts w:ascii="Times New Roman" w:hAnsi="Times New Roman" w:cs="Times New Roman"/>
          <w:lang w:val="en-GB"/>
        </w:rPr>
        <w:t>ruling</w:t>
      </w:r>
      <w:r>
        <w:rPr>
          <w:rFonts w:ascii="Times New Roman" w:hAnsi="Times New Roman" w:cs="Times New Roman"/>
          <w:lang w:val="en-GB"/>
        </w:rPr>
        <w:t xml:space="preserve"> that the State is obligated to take “reasonable steps to prevent ill-treatment of which the authorities had or ought to have had knowledge.”</w:t>
      </w:r>
      <w:r>
        <w:rPr>
          <w:rStyle w:val="FootnoteReference"/>
          <w:rFonts w:ascii="Times New Roman" w:hAnsi="Times New Roman" w:cs="Times New Roman"/>
          <w:lang w:val="en-GB"/>
        </w:rPr>
        <w:footnoteReference w:id="32"/>
      </w:r>
      <w:r>
        <w:rPr>
          <w:rFonts w:ascii="Times New Roman" w:hAnsi="Times New Roman" w:cs="Times New Roman"/>
          <w:lang w:val="en-GB"/>
        </w:rPr>
        <w:t xml:space="preserve"> In clarifying this threshold, the Court stated in another case that the test does not</w:t>
      </w:r>
      <w:r w:rsidR="00996B83">
        <w:rPr>
          <w:rFonts w:ascii="Times New Roman" w:hAnsi="Times New Roman" w:cs="Times New Roman"/>
          <w:lang w:val="en-GB"/>
        </w:rPr>
        <w:t xml:space="preserve"> require</w:t>
      </w:r>
      <w:r>
        <w:rPr>
          <w:rFonts w:ascii="Times New Roman" w:hAnsi="Times New Roman" w:cs="Times New Roman"/>
          <w:lang w:val="en-GB"/>
        </w:rPr>
        <w:t xml:space="preserve"> a </w:t>
      </w:r>
      <w:r w:rsidR="00996B83">
        <w:rPr>
          <w:rFonts w:ascii="Times New Roman" w:hAnsi="Times New Roman" w:cs="Times New Roman"/>
          <w:lang w:val="en-GB"/>
        </w:rPr>
        <w:t xml:space="preserve">high </w:t>
      </w:r>
      <w:r>
        <w:rPr>
          <w:rFonts w:ascii="Times New Roman" w:hAnsi="Times New Roman" w:cs="Times New Roman"/>
          <w:lang w:val="en-GB"/>
        </w:rPr>
        <w:t xml:space="preserve">“but for” threshold to </w:t>
      </w:r>
      <w:r w:rsidR="00996B83">
        <w:rPr>
          <w:rFonts w:ascii="Times New Roman" w:hAnsi="Times New Roman" w:cs="Times New Roman"/>
          <w:lang w:val="en-GB"/>
        </w:rPr>
        <w:t>engage</w:t>
      </w:r>
      <w:r>
        <w:rPr>
          <w:rFonts w:ascii="Times New Roman" w:hAnsi="Times New Roman" w:cs="Times New Roman"/>
          <w:lang w:val="en-GB"/>
        </w:rPr>
        <w:t xml:space="preserve"> </w:t>
      </w:r>
      <w:r w:rsidR="00996B83">
        <w:rPr>
          <w:rFonts w:ascii="Times New Roman" w:hAnsi="Times New Roman" w:cs="Times New Roman"/>
          <w:lang w:val="en-GB"/>
        </w:rPr>
        <w:t xml:space="preserve">State </w:t>
      </w:r>
      <w:r>
        <w:rPr>
          <w:rFonts w:ascii="Times New Roman" w:hAnsi="Times New Roman" w:cs="Times New Roman"/>
          <w:lang w:val="en-GB"/>
        </w:rPr>
        <w:t>responsibility</w:t>
      </w:r>
      <w:r w:rsidR="00996B83">
        <w:rPr>
          <w:rFonts w:ascii="Times New Roman" w:hAnsi="Times New Roman" w:cs="Times New Roman"/>
          <w:lang w:val="en-GB"/>
        </w:rPr>
        <w:t>,</w:t>
      </w:r>
      <w:r>
        <w:rPr>
          <w:rFonts w:ascii="Times New Roman" w:hAnsi="Times New Roman" w:cs="Times New Roman"/>
          <w:lang w:val="en-GB"/>
        </w:rPr>
        <w:t xml:space="preserve"> </w:t>
      </w:r>
      <w:r w:rsidR="00996B83">
        <w:rPr>
          <w:rFonts w:ascii="Times New Roman" w:hAnsi="Times New Roman" w:cs="Times New Roman"/>
          <w:lang w:val="en-GB"/>
        </w:rPr>
        <w:t>but rather the failure “to take reasonably available measures which could have […] a real prospect of altering the outcome or mitigating the harm.”</w:t>
      </w:r>
      <w:r w:rsidR="00996B83">
        <w:rPr>
          <w:rStyle w:val="FootnoteReference"/>
          <w:rFonts w:ascii="Times New Roman" w:hAnsi="Times New Roman" w:cs="Times New Roman"/>
          <w:lang w:val="en-GB"/>
        </w:rPr>
        <w:footnoteReference w:id="33"/>
      </w:r>
    </w:p>
    <w:p w14:paraId="7860B454" w14:textId="77777777" w:rsidR="00426B75" w:rsidRDefault="00426B75" w:rsidP="00D55127">
      <w:pPr>
        <w:jc w:val="both"/>
        <w:rPr>
          <w:rFonts w:ascii="Times New Roman" w:hAnsi="Times New Roman" w:cs="Times New Roman"/>
          <w:lang w:val="en-GB"/>
        </w:rPr>
      </w:pPr>
    </w:p>
    <w:p w14:paraId="37FBBF1F" w14:textId="633C7189" w:rsidR="00D55127" w:rsidRPr="00D55127" w:rsidRDefault="00911FC4" w:rsidP="00D55127">
      <w:pPr>
        <w:jc w:val="both"/>
        <w:rPr>
          <w:rFonts w:ascii="Times New Roman" w:hAnsi="Times New Roman" w:cs="Times New Roman"/>
          <w:lang w:val="en-CA"/>
        </w:rPr>
      </w:pPr>
      <w:r w:rsidRPr="00413CD0">
        <w:rPr>
          <w:rFonts w:ascii="Times New Roman" w:hAnsi="Times New Roman" w:cs="Times New Roman"/>
          <w:lang w:val="en-GB"/>
        </w:rPr>
        <w:t>The</w:t>
      </w:r>
      <w:r w:rsidRPr="00D34627">
        <w:rPr>
          <w:rFonts w:ascii="Times New Roman" w:hAnsi="Times New Roman" w:cs="Times New Roman"/>
          <w:lang w:val="en-GB"/>
        </w:rPr>
        <w:t xml:space="preserve"> Inter-American Court of Human Rights </w:t>
      </w:r>
      <w:r w:rsidR="00DD774E">
        <w:rPr>
          <w:rFonts w:ascii="Times New Roman" w:hAnsi="Times New Roman" w:cs="Times New Roman"/>
          <w:lang w:val="en-GB"/>
        </w:rPr>
        <w:t xml:space="preserve">has </w:t>
      </w:r>
      <w:r w:rsidRPr="00D34627">
        <w:rPr>
          <w:rFonts w:ascii="Times New Roman" w:hAnsi="Times New Roman" w:cs="Times New Roman"/>
          <w:lang w:val="en-GB"/>
        </w:rPr>
        <w:t>found that States bear a responsibility to prevent violations of human rights committed by non-</w:t>
      </w:r>
      <w:r w:rsidR="00386AD4">
        <w:rPr>
          <w:rFonts w:ascii="Times New Roman" w:hAnsi="Times New Roman" w:cs="Times New Roman"/>
          <w:lang w:val="en-GB"/>
        </w:rPr>
        <w:t>s</w:t>
      </w:r>
      <w:r w:rsidRPr="00D34627">
        <w:rPr>
          <w:rFonts w:ascii="Times New Roman" w:hAnsi="Times New Roman" w:cs="Times New Roman"/>
          <w:lang w:val="en-GB"/>
        </w:rPr>
        <w:t>tate actors, including in the context of domestic violence.</w:t>
      </w:r>
      <w:r w:rsidRPr="00D34627">
        <w:rPr>
          <w:rStyle w:val="FootnoteReference"/>
          <w:rFonts w:ascii="Times New Roman" w:hAnsi="Times New Roman" w:cs="Times New Roman"/>
          <w:lang w:val="en-GB"/>
        </w:rPr>
        <w:footnoteReference w:id="34"/>
      </w:r>
      <w:r w:rsidRPr="00D34627">
        <w:rPr>
          <w:rFonts w:ascii="Times New Roman" w:hAnsi="Times New Roman" w:cs="Times New Roman"/>
          <w:lang w:val="en-GB"/>
        </w:rPr>
        <w:t xml:space="preserve"> </w:t>
      </w:r>
      <w:r w:rsidR="006738F9" w:rsidRPr="00D34627">
        <w:rPr>
          <w:rFonts w:ascii="Times New Roman" w:hAnsi="Times New Roman" w:cs="Times New Roman"/>
          <w:lang w:val="en-GB"/>
        </w:rPr>
        <w:t>The UN Human Rights Committee</w:t>
      </w:r>
      <w:r w:rsidR="00164339" w:rsidRPr="00D34627">
        <w:rPr>
          <w:rFonts w:ascii="Times New Roman" w:hAnsi="Times New Roman" w:cs="Times New Roman"/>
          <w:lang w:val="en-GB"/>
        </w:rPr>
        <w:t xml:space="preserve"> </w:t>
      </w:r>
      <w:r w:rsidR="006738F9" w:rsidRPr="00D34627">
        <w:rPr>
          <w:rFonts w:ascii="Times New Roman" w:hAnsi="Times New Roman" w:cs="Times New Roman"/>
          <w:lang w:val="en-GB"/>
        </w:rPr>
        <w:t xml:space="preserve">has stated that domestic violence could trigger the right under </w:t>
      </w:r>
      <w:r w:rsidR="001D0C83">
        <w:rPr>
          <w:rFonts w:ascii="Times New Roman" w:hAnsi="Times New Roman" w:cs="Times New Roman"/>
          <w:lang w:val="en-GB"/>
        </w:rPr>
        <w:t>a</w:t>
      </w:r>
      <w:r w:rsidR="006738F9" w:rsidRPr="00D34627">
        <w:rPr>
          <w:rFonts w:ascii="Times New Roman" w:hAnsi="Times New Roman" w:cs="Times New Roman"/>
          <w:lang w:val="en-GB"/>
        </w:rPr>
        <w:t xml:space="preserve">rticle 7 of the International Covenant on Civil and Political Rights to be free from torture </w:t>
      </w:r>
      <w:r w:rsidR="00D747C0">
        <w:rPr>
          <w:rFonts w:ascii="Times New Roman" w:hAnsi="Times New Roman" w:cs="Times New Roman"/>
          <w:lang w:val="en-GB"/>
        </w:rPr>
        <w:t>and other</w:t>
      </w:r>
      <w:r w:rsidR="00D747C0" w:rsidRPr="00D34627">
        <w:rPr>
          <w:rFonts w:ascii="Times New Roman" w:hAnsi="Times New Roman" w:cs="Times New Roman"/>
          <w:lang w:val="en-GB"/>
        </w:rPr>
        <w:t xml:space="preserve"> </w:t>
      </w:r>
      <w:r w:rsidR="006738F9" w:rsidRPr="00D34627">
        <w:rPr>
          <w:rFonts w:ascii="Times New Roman" w:hAnsi="Times New Roman" w:cs="Times New Roman"/>
          <w:lang w:val="en-GB"/>
        </w:rPr>
        <w:t>ill-treatment.</w:t>
      </w:r>
      <w:r w:rsidR="006738F9" w:rsidRPr="00D34627">
        <w:rPr>
          <w:rStyle w:val="FootnoteReference"/>
          <w:rFonts w:ascii="Times New Roman" w:hAnsi="Times New Roman" w:cs="Times New Roman"/>
          <w:lang w:val="en-GB"/>
        </w:rPr>
        <w:footnoteReference w:id="35"/>
      </w:r>
      <w:r w:rsidR="00164339" w:rsidRPr="00D34627">
        <w:rPr>
          <w:rFonts w:ascii="Times New Roman" w:hAnsi="Times New Roman" w:cs="Times New Roman"/>
          <w:lang w:val="en-GB"/>
        </w:rPr>
        <w:t xml:space="preserve"> The </w:t>
      </w:r>
      <w:r w:rsidR="00D747C0">
        <w:rPr>
          <w:rFonts w:ascii="Times New Roman" w:hAnsi="Times New Roman" w:cs="Times New Roman"/>
          <w:lang w:val="en-GB"/>
        </w:rPr>
        <w:t>Human Rights Committee</w:t>
      </w:r>
      <w:r w:rsidR="00D747C0" w:rsidRPr="00D34627">
        <w:rPr>
          <w:rFonts w:ascii="Times New Roman" w:hAnsi="Times New Roman" w:cs="Times New Roman"/>
          <w:lang w:val="en-GB"/>
        </w:rPr>
        <w:t xml:space="preserve"> </w:t>
      </w:r>
      <w:r w:rsidR="00164339" w:rsidRPr="00D34627">
        <w:rPr>
          <w:rFonts w:ascii="Times New Roman" w:hAnsi="Times New Roman" w:cs="Times New Roman"/>
          <w:lang w:val="en-GB"/>
        </w:rPr>
        <w:t>has also stated</w:t>
      </w:r>
      <w:r w:rsidR="00B32B76" w:rsidRPr="00D34627">
        <w:rPr>
          <w:rFonts w:ascii="Times New Roman" w:hAnsi="Times New Roman" w:cs="Times New Roman"/>
          <w:lang w:val="en-GB"/>
        </w:rPr>
        <w:t xml:space="preserve"> that</w:t>
      </w:r>
      <w:r w:rsidR="00164339" w:rsidRPr="00D34627">
        <w:rPr>
          <w:rFonts w:ascii="Times New Roman" w:hAnsi="Times New Roman" w:cs="Times New Roman"/>
          <w:lang w:val="en-GB"/>
        </w:rPr>
        <w:t>:</w:t>
      </w:r>
      <w:r w:rsidR="00164339" w:rsidRPr="00D34627">
        <w:rPr>
          <w:rStyle w:val="FootnoteReference"/>
          <w:rFonts w:ascii="Times New Roman" w:hAnsi="Times New Roman" w:cs="Times New Roman"/>
          <w:lang w:val="en-GB"/>
        </w:rPr>
        <w:footnoteReference w:id="36"/>
      </w:r>
      <w:r w:rsidR="00D55127" w:rsidRPr="00D55127">
        <w:rPr>
          <w:rFonts w:ascii="Times New Roman" w:hAnsi="Times New Roman" w:cs="Times New Roman"/>
          <w:lang w:val="en-CA"/>
        </w:rPr>
        <w:t> </w:t>
      </w:r>
    </w:p>
    <w:p w14:paraId="7112175F" w14:textId="77777777" w:rsidR="00164339" w:rsidRPr="00D34627" w:rsidRDefault="00164339" w:rsidP="00C6613D">
      <w:pPr>
        <w:jc w:val="both"/>
        <w:rPr>
          <w:rFonts w:ascii="Times New Roman" w:hAnsi="Times New Roman" w:cs="Times New Roman"/>
          <w:lang w:val="en-GB"/>
        </w:rPr>
      </w:pPr>
    </w:p>
    <w:p w14:paraId="5FD8593C" w14:textId="160AF408" w:rsidR="00164339" w:rsidRPr="00D34627" w:rsidRDefault="00164339" w:rsidP="00164339">
      <w:pPr>
        <w:ind w:left="720"/>
        <w:jc w:val="both"/>
        <w:rPr>
          <w:rFonts w:ascii="Times New Roman" w:hAnsi="Times New Roman" w:cs="Times New Roman"/>
          <w:sz w:val="20"/>
          <w:szCs w:val="20"/>
          <w:lang w:val="en-GB"/>
        </w:rPr>
      </w:pPr>
      <w:r w:rsidRPr="00D34627">
        <w:rPr>
          <w:rFonts w:ascii="Times New Roman" w:hAnsi="Times New Roman" w:cs="Times New Roman"/>
          <w:sz w:val="20"/>
          <w:szCs w:val="20"/>
          <w:lang w:val="en-GB"/>
        </w:rPr>
        <w:t xml:space="preserve">States parties should indicate when presenting their </w:t>
      </w:r>
      <w:proofErr w:type="gramStart"/>
      <w:r w:rsidRPr="00D34627">
        <w:rPr>
          <w:rFonts w:ascii="Times New Roman" w:hAnsi="Times New Roman" w:cs="Times New Roman"/>
          <w:sz w:val="20"/>
          <w:szCs w:val="20"/>
          <w:lang w:val="en-GB"/>
        </w:rPr>
        <w:t>reports</w:t>
      </w:r>
      <w:proofErr w:type="gramEnd"/>
      <w:r w:rsidRPr="00D34627">
        <w:rPr>
          <w:rFonts w:ascii="Times New Roman" w:hAnsi="Times New Roman" w:cs="Times New Roman"/>
          <w:sz w:val="20"/>
          <w:szCs w:val="20"/>
          <w:lang w:val="en-GB"/>
        </w:rPr>
        <w:t xml:space="preserve"> the provisions of their criminal law which penalize torture and cruel, inhuman and degrading treatment or punishment, specifying the penalties applicable to such acts, whether committed by public officials or other persons acting on behalf of the State, or by private persons. </w:t>
      </w:r>
    </w:p>
    <w:p w14:paraId="416ADC5F" w14:textId="3A7422A3" w:rsidR="00164339" w:rsidRPr="00D34627" w:rsidRDefault="00164339" w:rsidP="00C6613D">
      <w:pPr>
        <w:jc w:val="both"/>
        <w:rPr>
          <w:rFonts w:ascii="Times New Roman" w:hAnsi="Times New Roman" w:cs="Times New Roman"/>
          <w:lang w:val="en-GB"/>
        </w:rPr>
      </w:pPr>
    </w:p>
    <w:p w14:paraId="1461A3C1" w14:textId="0C4B3D2D" w:rsidR="009141BD" w:rsidRPr="00D34627" w:rsidRDefault="009141BD" w:rsidP="00C6613D">
      <w:pPr>
        <w:jc w:val="both"/>
        <w:rPr>
          <w:rFonts w:ascii="Times New Roman" w:hAnsi="Times New Roman" w:cs="Times New Roman"/>
          <w:lang w:val="en-GB"/>
        </w:rPr>
      </w:pPr>
      <w:r w:rsidRPr="00D34627">
        <w:rPr>
          <w:rFonts w:ascii="Times New Roman" w:hAnsi="Times New Roman" w:cs="Times New Roman"/>
          <w:lang w:val="en-GB"/>
        </w:rPr>
        <w:t>And further, that:</w:t>
      </w:r>
      <w:r w:rsidRPr="00D34627">
        <w:rPr>
          <w:rStyle w:val="FootnoteReference"/>
          <w:rFonts w:ascii="Times New Roman" w:hAnsi="Times New Roman" w:cs="Times New Roman"/>
          <w:lang w:val="en-GB"/>
        </w:rPr>
        <w:footnoteReference w:id="37"/>
      </w:r>
    </w:p>
    <w:p w14:paraId="49F6A396" w14:textId="77777777" w:rsidR="000C1BDC" w:rsidRPr="00D34627" w:rsidRDefault="000C1BDC" w:rsidP="009141BD">
      <w:pPr>
        <w:ind w:left="720"/>
        <w:jc w:val="both"/>
        <w:rPr>
          <w:rFonts w:ascii="Times New Roman" w:hAnsi="Times New Roman" w:cs="Times New Roman"/>
          <w:sz w:val="20"/>
          <w:szCs w:val="20"/>
          <w:lang w:val="en-GB"/>
        </w:rPr>
      </w:pPr>
    </w:p>
    <w:p w14:paraId="1AAC31E0" w14:textId="07685E4F" w:rsidR="009141BD" w:rsidRPr="00D34627" w:rsidRDefault="009141BD" w:rsidP="009141BD">
      <w:pPr>
        <w:ind w:left="720"/>
        <w:jc w:val="both"/>
        <w:rPr>
          <w:rFonts w:ascii="Times New Roman" w:hAnsi="Times New Roman" w:cs="Times New Roman"/>
          <w:sz w:val="20"/>
          <w:szCs w:val="20"/>
          <w:lang w:val="en-GB"/>
        </w:rPr>
      </w:pPr>
      <w:r w:rsidRPr="00D34627">
        <w:rPr>
          <w:rFonts w:ascii="Times New Roman" w:hAnsi="Times New Roman" w:cs="Times New Roman"/>
          <w:sz w:val="20"/>
          <w:szCs w:val="20"/>
          <w:lang w:val="en-GB"/>
        </w:rPr>
        <w:t>It is the duty of the State party to afford everyone protection through legislative and other measures as may be necessary against the acts prohibited by article 7, whether inflicted by people acting in their official capacity, outside their official capacity or in a private capacity.</w:t>
      </w:r>
    </w:p>
    <w:p w14:paraId="445C8CF6" w14:textId="77777777" w:rsidR="00413CD0" w:rsidRDefault="00413CD0" w:rsidP="00FD5AEB">
      <w:pPr>
        <w:jc w:val="both"/>
        <w:rPr>
          <w:rFonts w:ascii="Times New Roman" w:hAnsi="Times New Roman" w:cs="Times New Roman"/>
          <w:lang w:val="en-GB"/>
        </w:rPr>
      </w:pPr>
    </w:p>
    <w:p w14:paraId="30CB5FAD" w14:textId="22E697D0" w:rsidR="00A41AB4" w:rsidRPr="00D34627" w:rsidRDefault="00213666" w:rsidP="00FD5AEB">
      <w:pPr>
        <w:jc w:val="both"/>
        <w:rPr>
          <w:rFonts w:ascii="Times New Roman" w:hAnsi="Times New Roman" w:cs="Times New Roman"/>
          <w:u w:val="single"/>
          <w:lang w:val="en-GB"/>
        </w:rPr>
      </w:pPr>
      <w:r w:rsidRPr="00D34627">
        <w:rPr>
          <w:rFonts w:ascii="Times New Roman" w:hAnsi="Times New Roman" w:cs="Times New Roman"/>
          <w:lang w:val="en-GB"/>
        </w:rPr>
        <w:t xml:space="preserve">The 1995 Inter-American Commission report on Haiti found that the State’s failure to prevent rape and sexual abuse at the hands of private actors, including paramilitary, amounted to a </w:t>
      </w:r>
      <w:r w:rsidR="0031787E" w:rsidRPr="00D34627">
        <w:rPr>
          <w:rFonts w:ascii="Times New Roman" w:hAnsi="Times New Roman" w:cs="Times New Roman"/>
          <w:lang w:val="en-GB"/>
        </w:rPr>
        <w:t>violation of several human rights instruments, including the Convention</w:t>
      </w:r>
      <w:r w:rsidR="00FD5AEB">
        <w:rPr>
          <w:rFonts w:ascii="Times New Roman" w:hAnsi="Times New Roman" w:cs="Times New Roman"/>
          <w:lang w:val="en-GB"/>
        </w:rPr>
        <w:t xml:space="preserve"> against Torture</w:t>
      </w:r>
      <w:r w:rsidR="0031787E" w:rsidRPr="00D34627">
        <w:rPr>
          <w:rFonts w:ascii="Times New Roman" w:hAnsi="Times New Roman" w:cs="Times New Roman"/>
          <w:lang w:val="en-GB"/>
        </w:rPr>
        <w:t>.</w:t>
      </w:r>
      <w:r w:rsidR="00BC606D" w:rsidRPr="00D34627">
        <w:rPr>
          <w:rStyle w:val="FootnoteReference"/>
          <w:rFonts w:ascii="Times New Roman" w:hAnsi="Times New Roman" w:cs="Times New Roman"/>
          <w:lang w:val="en-GB"/>
        </w:rPr>
        <w:footnoteReference w:id="38"/>
      </w:r>
      <w:r w:rsidR="0031787E" w:rsidRPr="00D34627">
        <w:rPr>
          <w:rFonts w:ascii="Times New Roman" w:hAnsi="Times New Roman" w:cs="Times New Roman"/>
          <w:lang w:val="en-GB"/>
        </w:rPr>
        <w:t xml:space="preserve"> </w:t>
      </w:r>
    </w:p>
    <w:p w14:paraId="0BCB80A5" w14:textId="77777777" w:rsidR="00A41AB4" w:rsidRPr="00D34627" w:rsidRDefault="00A41AB4" w:rsidP="00C6613D">
      <w:pPr>
        <w:jc w:val="both"/>
        <w:rPr>
          <w:rFonts w:ascii="Times New Roman" w:hAnsi="Times New Roman" w:cs="Times New Roman"/>
          <w:lang w:val="en-GB"/>
        </w:rPr>
      </w:pPr>
    </w:p>
    <w:p w14:paraId="646C5633" w14:textId="07C964D3" w:rsidR="001D03EE" w:rsidRDefault="00085552" w:rsidP="00FD5AEB">
      <w:pPr>
        <w:jc w:val="both"/>
        <w:rPr>
          <w:rFonts w:ascii="Times New Roman" w:hAnsi="Times New Roman" w:cs="Times New Roman"/>
          <w:lang w:val="en-GB"/>
        </w:rPr>
      </w:pPr>
      <w:r w:rsidRPr="00D34627">
        <w:rPr>
          <w:rFonts w:ascii="Times New Roman" w:hAnsi="Times New Roman" w:cs="Times New Roman"/>
          <w:lang w:val="en-GB"/>
        </w:rPr>
        <w:t xml:space="preserve">In 1996, </w:t>
      </w:r>
      <w:r w:rsidR="00C40135" w:rsidRPr="00D34627">
        <w:rPr>
          <w:rFonts w:ascii="Times New Roman" w:hAnsi="Times New Roman" w:cs="Times New Roman"/>
          <w:lang w:val="en-GB"/>
        </w:rPr>
        <w:t xml:space="preserve">more than twenty years ago, </w:t>
      </w:r>
      <w:r w:rsidRPr="00D34627">
        <w:rPr>
          <w:rFonts w:ascii="Times New Roman" w:hAnsi="Times New Roman" w:cs="Times New Roman"/>
          <w:lang w:val="en-GB"/>
        </w:rPr>
        <w:t>the UN Special Rapporteur</w:t>
      </w:r>
      <w:r w:rsidR="00476DF9" w:rsidRPr="00D34627">
        <w:rPr>
          <w:rFonts w:ascii="Times New Roman" w:hAnsi="Times New Roman" w:cs="Times New Roman"/>
          <w:lang w:val="en-GB"/>
        </w:rPr>
        <w:t xml:space="preserve"> on violence against women</w:t>
      </w:r>
      <w:r w:rsidRPr="00D34627">
        <w:rPr>
          <w:rFonts w:ascii="Times New Roman" w:hAnsi="Times New Roman" w:cs="Times New Roman"/>
          <w:lang w:val="en-GB"/>
        </w:rPr>
        <w:t xml:space="preserve"> stated that “the argument that domestic violence should be understood and treated as a form of torture </w:t>
      </w:r>
      <w:r w:rsidRPr="00D34627">
        <w:rPr>
          <w:rFonts w:ascii="Times New Roman" w:hAnsi="Times New Roman" w:cs="Times New Roman"/>
          <w:lang w:val="en-GB"/>
        </w:rPr>
        <w:lastRenderedPageBreak/>
        <w:t>and, when less severe, ill-treatment, is one that deserves consideration.”</w:t>
      </w:r>
      <w:r w:rsidRPr="00D34627">
        <w:rPr>
          <w:rStyle w:val="FootnoteReference"/>
          <w:rFonts w:ascii="Times New Roman" w:hAnsi="Times New Roman" w:cs="Times New Roman"/>
          <w:lang w:val="en-GB"/>
        </w:rPr>
        <w:footnoteReference w:id="39"/>
      </w:r>
      <w:r w:rsidRPr="00D34627">
        <w:rPr>
          <w:rFonts w:ascii="Times New Roman" w:hAnsi="Times New Roman" w:cs="Times New Roman"/>
          <w:lang w:val="en-GB"/>
        </w:rPr>
        <w:t xml:space="preserve"> </w:t>
      </w:r>
      <w:r w:rsidR="001D03EE">
        <w:rPr>
          <w:rFonts w:ascii="Times New Roman" w:hAnsi="Times New Roman" w:cs="Times New Roman"/>
          <w:lang w:val="en-GB"/>
        </w:rPr>
        <w:t>In her report, the Special Rapporteur conducted an analysis of domestic violence as torture:</w:t>
      </w:r>
      <w:r w:rsidR="001D03EE">
        <w:rPr>
          <w:rStyle w:val="FootnoteReference"/>
          <w:rFonts w:ascii="Times New Roman" w:hAnsi="Times New Roman" w:cs="Times New Roman"/>
          <w:lang w:val="en-GB"/>
        </w:rPr>
        <w:footnoteReference w:id="40"/>
      </w:r>
    </w:p>
    <w:p w14:paraId="7BB70957" w14:textId="5A04CE12" w:rsidR="001D03EE" w:rsidRDefault="001D03EE" w:rsidP="00FD5AEB">
      <w:pPr>
        <w:jc w:val="both"/>
        <w:rPr>
          <w:rFonts w:ascii="Times New Roman" w:hAnsi="Times New Roman" w:cs="Times New Roman"/>
          <w:lang w:val="en-GB"/>
        </w:rPr>
      </w:pPr>
    </w:p>
    <w:p w14:paraId="05625F3C" w14:textId="0B76F9AF" w:rsidR="001D03EE" w:rsidRPr="001D03EE" w:rsidRDefault="001D03EE" w:rsidP="001D03EE">
      <w:pPr>
        <w:ind w:left="720"/>
        <w:jc w:val="both"/>
        <w:rPr>
          <w:rFonts w:ascii="Times New Roman" w:hAnsi="Times New Roman" w:cs="Times New Roman"/>
          <w:sz w:val="20"/>
          <w:szCs w:val="20"/>
          <w:lang w:val="en-CA"/>
        </w:rPr>
      </w:pPr>
      <w:r w:rsidRPr="001D03EE">
        <w:rPr>
          <w:rFonts w:ascii="Times New Roman" w:hAnsi="Times New Roman" w:cs="Times New Roman"/>
          <w:sz w:val="20"/>
          <w:szCs w:val="20"/>
          <w:lang w:val="en-CA"/>
        </w:rPr>
        <w:t xml:space="preserve">It is argued that, like torture, domestic violence commonly involves some form of physical and/or psychological suffering, including death in some cases. Secondly, domestic violence, like torture, is purposeful behaviour which is perpetrated intentionally. Men who beat women partners commonly exercise control over their impulses in other settings and their targets are often limited to their partners of children. Thirdly, domestic violence is generally committed for specific purposes including punishment, intimidation and the diminution of the woman's personality. Lastly, like torture, domestic violence occurs with at least the tacit involvement of the State if the </w:t>
      </w:r>
      <w:r w:rsidR="00386AD4">
        <w:rPr>
          <w:rFonts w:ascii="Times New Roman" w:hAnsi="Times New Roman" w:cs="Times New Roman"/>
          <w:sz w:val="20"/>
          <w:szCs w:val="20"/>
          <w:lang w:val="en-CA"/>
        </w:rPr>
        <w:t>S</w:t>
      </w:r>
      <w:r w:rsidRPr="001D03EE">
        <w:rPr>
          <w:rFonts w:ascii="Times New Roman" w:hAnsi="Times New Roman" w:cs="Times New Roman"/>
          <w:sz w:val="20"/>
          <w:szCs w:val="20"/>
          <w:lang w:val="en-CA"/>
        </w:rPr>
        <w:t>tate does not exercise due diligence and equal protection in preventing domestic abuse. This argument contends that, as such, domestic violence may be understood to constitute a form of torture.</w:t>
      </w:r>
    </w:p>
    <w:p w14:paraId="4DF8BA02" w14:textId="77777777" w:rsidR="001D03EE" w:rsidRDefault="001D03EE" w:rsidP="00FD5AEB">
      <w:pPr>
        <w:jc w:val="both"/>
        <w:rPr>
          <w:rFonts w:ascii="Times New Roman" w:hAnsi="Times New Roman" w:cs="Times New Roman"/>
          <w:lang w:val="en-GB"/>
        </w:rPr>
      </w:pPr>
    </w:p>
    <w:p w14:paraId="5E7E3205" w14:textId="40BD781A" w:rsidR="006077A3" w:rsidRPr="00D34627" w:rsidRDefault="000A0CAF" w:rsidP="00FD5AEB">
      <w:pPr>
        <w:jc w:val="both"/>
        <w:rPr>
          <w:rFonts w:ascii="Times New Roman" w:hAnsi="Times New Roman" w:cs="Times New Roman"/>
          <w:lang w:val="en-GB"/>
        </w:rPr>
      </w:pPr>
      <w:r>
        <w:rPr>
          <w:rFonts w:ascii="Times New Roman" w:hAnsi="Times New Roman" w:cs="Times New Roman"/>
          <w:lang w:val="en-GB"/>
        </w:rPr>
        <w:t>Recognizing the nexus between torture and domestic violence</w:t>
      </w:r>
      <w:r w:rsidR="00911FC4" w:rsidRPr="00D34627">
        <w:rPr>
          <w:rFonts w:ascii="Times New Roman" w:hAnsi="Times New Roman" w:cs="Times New Roman"/>
          <w:lang w:val="en-GB"/>
        </w:rPr>
        <w:t xml:space="preserve"> since then, the UN Special Rapporteurs on violence against women have at different times </w:t>
      </w:r>
      <w:r w:rsidR="00C40135" w:rsidRPr="00D34627">
        <w:rPr>
          <w:rFonts w:ascii="Times New Roman" w:hAnsi="Times New Roman" w:cs="Times New Roman"/>
          <w:lang w:val="en-GB"/>
        </w:rPr>
        <w:t>concluded</w:t>
      </w:r>
      <w:r w:rsidR="00911FC4" w:rsidRPr="00D34627">
        <w:rPr>
          <w:rFonts w:ascii="Times New Roman" w:hAnsi="Times New Roman" w:cs="Times New Roman"/>
          <w:lang w:val="en-GB"/>
        </w:rPr>
        <w:t xml:space="preserve"> that gender-based violence can </w:t>
      </w:r>
      <w:r w:rsidR="00C40135" w:rsidRPr="00D34627">
        <w:rPr>
          <w:rFonts w:ascii="Times New Roman" w:hAnsi="Times New Roman" w:cs="Times New Roman"/>
          <w:lang w:val="en-GB"/>
        </w:rPr>
        <w:t xml:space="preserve">and does </w:t>
      </w:r>
      <w:r w:rsidR="00911FC4" w:rsidRPr="00D34627">
        <w:rPr>
          <w:rFonts w:ascii="Times New Roman" w:hAnsi="Times New Roman" w:cs="Times New Roman"/>
          <w:lang w:val="en-GB"/>
        </w:rPr>
        <w:t>amount to torture</w:t>
      </w:r>
      <w:r w:rsidR="00C40135" w:rsidRPr="00D34627">
        <w:rPr>
          <w:rFonts w:ascii="Times New Roman" w:hAnsi="Times New Roman" w:cs="Times New Roman"/>
          <w:lang w:val="en-GB"/>
        </w:rPr>
        <w:t xml:space="preserve"> in particular </w:t>
      </w:r>
      <w:r w:rsidR="00721A94" w:rsidRPr="00D34627">
        <w:rPr>
          <w:rFonts w:ascii="Times New Roman" w:hAnsi="Times New Roman" w:cs="Times New Roman"/>
          <w:lang w:val="en-GB"/>
        </w:rPr>
        <w:t>circumstances</w:t>
      </w:r>
      <w:r w:rsidR="00911FC4" w:rsidRPr="00D34627">
        <w:rPr>
          <w:rFonts w:ascii="Times New Roman" w:hAnsi="Times New Roman" w:cs="Times New Roman"/>
          <w:lang w:val="en-GB"/>
        </w:rPr>
        <w:t>.</w:t>
      </w:r>
      <w:r w:rsidR="00911FC4" w:rsidRPr="00D34627">
        <w:rPr>
          <w:rStyle w:val="FootnoteReference"/>
          <w:rFonts w:ascii="Times New Roman" w:hAnsi="Times New Roman" w:cs="Times New Roman"/>
          <w:lang w:val="en-GB"/>
        </w:rPr>
        <w:footnoteReference w:id="41"/>
      </w:r>
      <w:r w:rsidR="00802771" w:rsidRPr="00D34627">
        <w:rPr>
          <w:rFonts w:ascii="Times New Roman" w:hAnsi="Times New Roman" w:cs="Times New Roman"/>
          <w:lang w:val="en-GB"/>
        </w:rPr>
        <w:t xml:space="preserve"> In 2011, the </w:t>
      </w:r>
      <w:r w:rsidR="00FD5AEB">
        <w:rPr>
          <w:rFonts w:ascii="Times New Roman" w:hAnsi="Times New Roman" w:cs="Times New Roman"/>
          <w:lang w:val="en-GB"/>
        </w:rPr>
        <w:t xml:space="preserve">Special </w:t>
      </w:r>
      <w:r w:rsidR="00CE4D97">
        <w:rPr>
          <w:rFonts w:ascii="Times New Roman" w:hAnsi="Times New Roman" w:cs="Times New Roman"/>
          <w:lang w:val="en-GB"/>
        </w:rPr>
        <w:t>R</w:t>
      </w:r>
      <w:r w:rsidR="00802771" w:rsidRPr="00D34627">
        <w:rPr>
          <w:rFonts w:ascii="Times New Roman" w:hAnsi="Times New Roman" w:cs="Times New Roman"/>
          <w:lang w:val="en-GB"/>
        </w:rPr>
        <w:t>apporteur noted: “The problematic nature of human rights discourse regarding violence, which has until recently regarded violence mostly as public violence perpetrated by or condoned by the State, and which often carries with it the elements of spectacle, has led to the marginalization and invisibility of violence perpetrated against women in the private sphere.”</w:t>
      </w:r>
      <w:r w:rsidR="00802771" w:rsidRPr="00D34627">
        <w:rPr>
          <w:rStyle w:val="FootnoteReference"/>
          <w:rFonts w:ascii="Times New Roman" w:hAnsi="Times New Roman" w:cs="Times New Roman"/>
          <w:lang w:val="en-GB"/>
        </w:rPr>
        <w:footnoteReference w:id="42"/>
      </w:r>
      <w:r w:rsidR="00802771" w:rsidRPr="00D34627">
        <w:rPr>
          <w:rFonts w:ascii="Times New Roman" w:hAnsi="Times New Roman" w:cs="Times New Roman"/>
          <w:lang w:val="en-GB"/>
        </w:rPr>
        <w:t xml:space="preserve"> </w:t>
      </w:r>
    </w:p>
    <w:p w14:paraId="5D07B334" w14:textId="77777777" w:rsidR="00D31DB3" w:rsidRPr="00D34627" w:rsidRDefault="00D31DB3" w:rsidP="00C6613D">
      <w:pPr>
        <w:jc w:val="both"/>
        <w:rPr>
          <w:rFonts w:ascii="Times New Roman" w:hAnsi="Times New Roman" w:cs="Times New Roman"/>
          <w:lang w:val="en-GB"/>
        </w:rPr>
      </w:pPr>
    </w:p>
    <w:p w14:paraId="6F637BF1" w14:textId="01F87E8E" w:rsidR="002E6BAE" w:rsidRPr="00D34627" w:rsidRDefault="002E6BAE" w:rsidP="00B450C8">
      <w:pPr>
        <w:pStyle w:val="Style1"/>
        <w:rPr>
          <w:lang w:val="en-GB"/>
        </w:rPr>
      </w:pPr>
      <w:r w:rsidRPr="00D34627">
        <w:rPr>
          <w:lang w:val="en-GB"/>
        </w:rPr>
        <w:t>Conclusion</w:t>
      </w:r>
    </w:p>
    <w:p w14:paraId="632024E3" w14:textId="77777777" w:rsidR="00B1446D" w:rsidRPr="00D34627" w:rsidRDefault="00B1446D" w:rsidP="00C6613D">
      <w:pPr>
        <w:jc w:val="both"/>
        <w:rPr>
          <w:rFonts w:ascii="Times New Roman" w:hAnsi="Times New Roman" w:cs="Times New Roman"/>
          <w:lang w:val="en-GB"/>
        </w:rPr>
      </w:pPr>
    </w:p>
    <w:p w14:paraId="0B5B1265" w14:textId="2D3B0AA2" w:rsidR="00CA4AB3" w:rsidRPr="00CA4AB3" w:rsidRDefault="00CA4AB3" w:rsidP="00CA4AB3">
      <w:pPr>
        <w:jc w:val="both"/>
        <w:rPr>
          <w:rFonts w:ascii="Times New Roman" w:hAnsi="Times New Roman" w:cs="Times New Roman"/>
          <w:lang w:val="en-GB"/>
        </w:rPr>
      </w:pPr>
      <w:r w:rsidRPr="00CA4AB3">
        <w:rPr>
          <w:rFonts w:ascii="Times New Roman" w:hAnsi="Times New Roman" w:cs="Times New Roman"/>
          <w:lang w:val="en-GB"/>
        </w:rPr>
        <w:t>The term “acquiescence” within the definition of torture under the Convention against Torture was first proposed by the USA during the drafting of the Convention in 1978, responding to two early drafts of that Convention. According to a summary by the UN Secretary General</w:t>
      </w:r>
      <w:r w:rsidR="006C6B06">
        <w:rPr>
          <w:rFonts w:ascii="Times New Roman" w:hAnsi="Times New Roman" w:cs="Times New Roman"/>
          <w:lang w:val="en-GB"/>
        </w:rPr>
        <w:t>:</w:t>
      </w:r>
    </w:p>
    <w:p w14:paraId="371F54C2" w14:textId="77777777" w:rsidR="00CA4AB3" w:rsidRDefault="00CA4AB3" w:rsidP="00CA4AB3">
      <w:pPr>
        <w:jc w:val="both"/>
        <w:rPr>
          <w:rFonts w:ascii="Times New Roman" w:hAnsi="Times New Roman" w:cs="Times New Roman"/>
          <w:lang w:val="en-GB"/>
        </w:rPr>
      </w:pPr>
    </w:p>
    <w:p w14:paraId="3FDD6291" w14:textId="615A1541" w:rsidR="00CA4AB3" w:rsidRPr="00CA4AB3" w:rsidRDefault="006C6B06" w:rsidP="00CA4AB3">
      <w:pPr>
        <w:ind w:left="720"/>
        <w:jc w:val="both"/>
        <w:rPr>
          <w:rFonts w:ascii="Times New Roman" w:hAnsi="Times New Roman" w:cs="Times New Roman"/>
          <w:lang w:val="en-GB"/>
        </w:rPr>
      </w:pPr>
      <w:r>
        <w:rPr>
          <w:rFonts w:ascii="Times New Roman" w:hAnsi="Times New Roman" w:cs="Times New Roman"/>
          <w:lang w:val="en-GB"/>
        </w:rPr>
        <w:lastRenderedPageBreak/>
        <w:t>[</w:t>
      </w:r>
      <w:r w:rsidR="00CA4AB3" w:rsidRPr="00CA4AB3">
        <w:rPr>
          <w:rFonts w:ascii="Times New Roman" w:hAnsi="Times New Roman" w:cs="Times New Roman"/>
          <w:lang w:val="en-GB"/>
        </w:rPr>
        <w:t>…</w:t>
      </w:r>
      <w:r>
        <w:rPr>
          <w:rFonts w:ascii="Times New Roman" w:hAnsi="Times New Roman" w:cs="Times New Roman"/>
          <w:lang w:val="en-GB"/>
        </w:rPr>
        <w:t xml:space="preserve">] </w:t>
      </w:r>
      <w:r w:rsidR="00CA4AB3" w:rsidRPr="00CA4AB3">
        <w:rPr>
          <w:rFonts w:ascii="Times New Roman" w:hAnsi="Times New Roman" w:cs="Times New Roman"/>
          <w:lang w:val="en-GB"/>
        </w:rPr>
        <w:t>the United States proposes the concept of “acquiescence” of a public official rather than “instigation by” so that public officials have a clear duty to act to prevent torture.</w:t>
      </w:r>
      <w:r w:rsidR="00CA4AB3" w:rsidRPr="00CA4AB3">
        <w:rPr>
          <w:rFonts w:ascii="Times New Roman" w:hAnsi="Times New Roman" w:cs="Times New Roman"/>
          <w:vertAlign w:val="superscript"/>
          <w:lang w:val="en-GB"/>
        </w:rPr>
        <w:footnoteReference w:id="43"/>
      </w:r>
      <w:r w:rsidR="00CA4AB3" w:rsidRPr="00CA4AB3">
        <w:rPr>
          <w:rFonts w:ascii="Times New Roman" w:hAnsi="Times New Roman" w:cs="Times New Roman"/>
          <w:lang w:val="en-GB"/>
        </w:rPr>
        <w:t xml:space="preserve"> </w:t>
      </w:r>
    </w:p>
    <w:p w14:paraId="45B0F3D7" w14:textId="77777777" w:rsidR="00CA4AB3" w:rsidRDefault="00CA4AB3" w:rsidP="00CA4AB3">
      <w:pPr>
        <w:jc w:val="both"/>
        <w:rPr>
          <w:rFonts w:ascii="Times New Roman" w:hAnsi="Times New Roman" w:cs="Times New Roman"/>
          <w:lang w:val="en-GB"/>
        </w:rPr>
      </w:pPr>
    </w:p>
    <w:p w14:paraId="4119F0E0" w14:textId="60E6FD6B" w:rsidR="00DC1DB5" w:rsidRDefault="00CA4AB3" w:rsidP="00CA4AB3">
      <w:pPr>
        <w:jc w:val="both"/>
        <w:rPr>
          <w:rFonts w:ascii="Times New Roman" w:hAnsi="Times New Roman" w:cs="Times New Roman"/>
          <w:lang w:val="en-GB"/>
        </w:rPr>
      </w:pPr>
      <w:r w:rsidRPr="00CA4AB3">
        <w:rPr>
          <w:rFonts w:ascii="Times New Roman" w:hAnsi="Times New Roman" w:cs="Times New Roman"/>
          <w:lang w:val="en-GB"/>
        </w:rPr>
        <w:t xml:space="preserve">The idea behind the inclusion of “acquiescence” was therefore to underline and clarify a positive, active duty of </w:t>
      </w:r>
      <w:r w:rsidR="00386AD4">
        <w:rPr>
          <w:rFonts w:ascii="Times New Roman" w:hAnsi="Times New Roman" w:cs="Times New Roman"/>
          <w:lang w:val="en-GB"/>
        </w:rPr>
        <w:t>S</w:t>
      </w:r>
      <w:r w:rsidRPr="00CA4AB3">
        <w:rPr>
          <w:rFonts w:ascii="Times New Roman" w:hAnsi="Times New Roman" w:cs="Times New Roman"/>
          <w:lang w:val="en-GB"/>
        </w:rPr>
        <w:t xml:space="preserve">tates to prevent torture (and other ill-treatment) – very much like the duty by </w:t>
      </w:r>
      <w:r w:rsidR="00386AD4">
        <w:rPr>
          <w:rFonts w:ascii="Times New Roman" w:hAnsi="Times New Roman" w:cs="Times New Roman"/>
          <w:lang w:val="en-GB"/>
        </w:rPr>
        <w:t>S</w:t>
      </w:r>
      <w:r w:rsidRPr="00CA4AB3">
        <w:rPr>
          <w:rFonts w:ascii="Times New Roman" w:hAnsi="Times New Roman" w:cs="Times New Roman"/>
          <w:lang w:val="en-GB"/>
        </w:rPr>
        <w:t>tates to prevent other acts violating human rights by non-</w:t>
      </w:r>
      <w:r w:rsidR="00386AD4">
        <w:rPr>
          <w:rFonts w:ascii="Times New Roman" w:hAnsi="Times New Roman" w:cs="Times New Roman"/>
          <w:lang w:val="en-GB"/>
        </w:rPr>
        <w:t>s</w:t>
      </w:r>
      <w:r w:rsidRPr="00CA4AB3">
        <w:rPr>
          <w:rFonts w:ascii="Times New Roman" w:hAnsi="Times New Roman" w:cs="Times New Roman"/>
          <w:lang w:val="en-GB"/>
        </w:rPr>
        <w:t>tate actors through exercising due diligence. There is no indication that for a finding “acquiescence” in torture or other ill-treatment by officials, their “intentional involvement” needs to be established</w:t>
      </w:r>
      <w:r w:rsidR="00E762EA">
        <w:rPr>
          <w:rFonts w:ascii="Times New Roman" w:hAnsi="Times New Roman" w:cs="Times New Roman"/>
          <w:lang w:val="en-GB"/>
        </w:rPr>
        <w:t>, as Canada claims</w:t>
      </w:r>
      <w:r w:rsidRPr="00CA4AB3">
        <w:rPr>
          <w:rFonts w:ascii="Times New Roman" w:hAnsi="Times New Roman" w:cs="Times New Roman"/>
          <w:lang w:val="en-GB"/>
        </w:rPr>
        <w:t xml:space="preserve"> – rather, </w:t>
      </w:r>
      <w:r w:rsidR="00E762EA">
        <w:rPr>
          <w:rFonts w:ascii="Times New Roman" w:hAnsi="Times New Roman" w:cs="Times New Roman"/>
          <w:lang w:val="en-GB"/>
        </w:rPr>
        <w:t>officials</w:t>
      </w:r>
      <w:r w:rsidRPr="00CA4AB3">
        <w:rPr>
          <w:rFonts w:ascii="Times New Roman" w:hAnsi="Times New Roman" w:cs="Times New Roman"/>
          <w:lang w:val="en-GB"/>
        </w:rPr>
        <w:t xml:space="preserve"> need to be intentionally involved in preventing such acts.</w:t>
      </w:r>
    </w:p>
    <w:p w14:paraId="319DFE73" w14:textId="77777777" w:rsidR="00DC1DB5" w:rsidRDefault="00DC1DB5" w:rsidP="003A0633">
      <w:pPr>
        <w:jc w:val="both"/>
        <w:rPr>
          <w:rFonts w:ascii="Times New Roman" w:hAnsi="Times New Roman" w:cs="Times New Roman"/>
          <w:lang w:val="en-GB"/>
        </w:rPr>
      </w:pPr>
    </w:p>
    <w:p w14:paraId="0AFDF876" w14:textId="20D90576" w:rsidR="00721A94" w:rsidRPr="00D34627" w:rsidRDefault="002E6BAE" w:rsidP="003A0633">
      <w:pPr>
        <w:jc w:val="both"/>
        <w:rPr>
          <w:rFonts w:ascii="Times New Roman" w:hAnsi="Times New Roman" w:cs="Times New Roman"/>
          <w:lang w:val="en-GB"/>
        </w:rPr>
      </w:pPr>
      <w:r w:rsidRPr="00D34627">
        <w:rPr>
          <w:rFonts w:ascii="Times New Roman" w:hAnsi="Times New Roman" w:cs="Times New Roman"/>
          <w:lang w:val="en-GB"/>
        </w:rPr>
        <w:t>Canada’s position is that violence against women</w:t>
      </w:r>
      <w:r w:rsidR="00721A94" w:rsidRPr="00D34627">
        <w:rPr>
          <w:rFonts w:ascii="Times New Roman" w:hAnsi="Times New Roman" w:cs="Times New Roman"/>
          <w:lang w:val="en-GB"/>
        </w:rPr>
        <w:t xml:space="preserve"> and gender-based violence</w:t>
      </w:r>
      <w:r w:rsidRPr="00D34627">
        <w:rPr>
          <w:rFonts w:ascii="Times New Roman" w:hAnsi="Times New Roman" w:cs="Times New Roman"/>
          <w:lang w:val="en-GB"/>
        </w:rPr>
        <w:t xml:space="preserve"> by </w:t>
      </w:r>
      <w:r w:rsidR="003A0633">
        <w:rPr>
          <w:rFonts w:ascii="Times New Roman" w:hAnsi="Times New Roman" w:cs="Times New Roman"/>
          <w:lang w:val="en-GB"/>
        </w:rPr>
        <w:t>non-</w:t>
      </w:r>
      <w:r w:rsidR="00386AD4">
        <w:rPr>
          <w:rFonts w:ascii="Times New Roman" w:hAnsi="Times New Roman" w:cs="Times New Roman"/>
          <w:lang w:val="en-GB"/>
        </w:rPr>
        <w:t>s</w:t>
      </w:r>
      <w:r w:rsidR="003A0633">
        <w:rPr>
          <w:rFonts w:ascii="Times New Roman" w:hAnsi="Times New Roman" w:cs="Times New Roman"/>
          <w:lang w:val="en-GB"/>
        </w:rPr>
        <w:t>tate</w:t>
      </w:r>
      <w:r w:rsidR="003A0633" w:rsidRPr="00D34627">
        <w:rPr>
          <w:rFonts w:ascii="Times New Roman" w:hAnsi="Times New Roman" w:cs="Times New Roman"/>
          <w:lang w:val="en-GB"/>
        </w:rPr>
        <w:t xml:space="preserve"> </w:t>
      </w:r>
      <w:r w:rsidRPr="00D34627">
        <w:rPr>
          <w:rFonts w:ascii="Times New Roman" w:hAnsi="Times New Roman" w:cs="Times New Roman"/>
          <w:lang w:val="en-GB"/>
        </w:rPr>
        <w:t>actors</w:t>
      </w:r>
      <w:r w:rsidR="00C40135" w:rsidRPr="00D34627">
        <w:rPr>
          <w:rFonts w:ascii="Times New Roman" w:hAnsi="Times New Roman" w:cs="Times New Roman"/>
          <w:lang w:val="en-GB"/>
        </w:rPr>
        <w:t>, including the</w:t>
      </w:r>
      <w:r w:rsidR="00721A94" w:rsidRPr="00D34627">
        <w:rPr>
          <w:rFonts w:ascii="Times New Roman" w:hAnsi="Times New Roman" w:cs="Times New Roman"/>
          <w:lang w:val="en-GB"/>
        </w:rPr>
        <w:t xml:space="preserve"> staggering and disproportionate rates of </w:t>
      </w:r>
      <w:r w:rsidR="00C40135" w:rsidRPr="00D34627">
        <w:rPr>
          <w:rFonts w:ascii="Times New Roman" w:hAnsi="Times New Roman" w:cs="Times New Roman"/>
          <w:lang w:val="en-GB"/>
        </w:rPr>
        <w:t xml:space="preserve">violence against Indigenous women and girls that is currently subject of a National Inquiry in </w:t>
      </w:r>
      <w:r w:rsidR="00721A94" w:rsidRPr="00D34627">
        <w:rPr>
          <w:rFonts w:ascii="Times New Roman" w:hAnsi="Times New Roman" w:cs="Times New Roman"/>
          <w:lang w:val="en-GB"/>
        </w:rPr>
        <w:t>Canada</w:t>
      </w:r>
      <w:r w:rsidR="00C40135" w:rsidRPr="00D34627">
        <w:rPr>
          <w:rFonts w:ascii="Times New Roman" w:hAnsi="Times New Roman" w:cs="Times New Roman"/>
          <w:lang w:val="en-GB"/>
        </w:rPr>
        <w:t>,</w:t>
      </w:r>
      <w:r w:rsidRPr="00D34627">
        <w:rPr>
          <w:rFonts w:ascii="Times New Roman" w:hAnsi="Times New Roman" w:cs="Times New Roman"/>
          <w:lang w:val="en-GB"/>
        </w:rPr>
        <w:t xml:space="preserve"> is not within the ambit of the Convention</w:t>
      </w:r>
      <w:r w:rsidR="00C40135" w:rsidRPr="00D34627">
        <w:rPr>
          <w:rFonts w:ascii="Times New Roman" w:hAnsi="Times New Roman" w:cs="Times New Roman"/>
          <w:lang w:val="en-GB"/>
        </w:rPr>
        <w:t xml:space="preserve"> against Torture</w:t>
      </w:r>
      <w:r w:rsidR="003A0633">
        <w:rPr>
          <w:rFonts w:ascii="Times New Roman" w:hAnsi="Times New Roman" w:cs="Times New Roman"/>
          <w:lang w:val="en-GB"/>
        </w:rPr>
        <w:t>, other than “in the most exceptional circumstances.”</w:t>
      </w:r>
      <w:r w:rsidR="003A1E50">
        <w:rPr>
          <w:rStyle w:val="FootnoteReference"/>
          <w:rFonts w:ascii="Times New Roman" w:hAnsi="Times New Roman" w:cs="Times New Roman"/>
          <w:lang w:val="en-GB"/>
        </w:rPr>
        <w:footnoteReference w:id="44"/>
      </w:r>
      <w:r w:rsidR="003A1E50" w:rsidRPr="00D34627">
        <w:rPr>
          <w:rFonts w:ascii="Times New Roman" w:hAnsi="Times New Roman" w:cs="Times New Roman"/>
          <w:lang w:val="en-GB"/>
        </w:rPr>
        <w:t xml:space="preserve"> </w:t>
      </w:r>
    </w:p>
    <w:p w14:paraId="1EDF2E49" w14:textId="77777777" w:rsidR="00721A94" w:rsidRPr="00D34627" w:rsidRDefault="00721A94" w:rsidP="00C6613D">
      <w:pPr>
        <w:jc w:val="both"/>
        <w:rPr>
          <w:rFonts w:ascii="Times New Roman" w:hAnsi="Times New Roman" w:cs="Times New Roman"/>
          <w:lang w:val="en-GB"/>
        </w:rPr>
      </w:pPr>
    </w:p>
    <w:p w14:paraId="6E150511" w14:textId="5516F439" w:rsidR="00AE76AF" w:rsidRPr="00D34627" w:rsidRDefault="002E6BAE" w:rsidP="003A0633">
      <w:pPr>
        <w:jc w:val="both"/>
        <w:rPr>
          <w:rFonts w:ascii="Times New Roman" w:hAnsi="Times New Roman" w:cs="Times New Roman"/>
          <w:lang w:val="en-GB"/>
        </w:rPr>
      </w:pPr>
      <w:r w:rsidRPr="00D34627">
        <w:rPr>
          <w:rFonts w:ascii="Times New Roman" w:hAnsi="Times New Roman" w:cs="Times New Roman"/>
          <w:lang w:val="en-GB"/>
        </w:rPr>
        <w:t>This position is inconsistent with the Committee’s own interpretation of the Convention, as well as with international jurisprudence</w:t>
      </w:r>
      <w:r w:rsidR="00DE32F1" w:rsidRPr="00D34627">
        <w:rPr>
          <w:rFonts w:ascii="Times New Roman" w:hAnsi="Times New Roman" w:cs="Times New Roman"/>
          <w:lang w:val="en-GB"/>
        </w:rPr>
        <w:t xml:space="preserve"> and academic opinion. </w:t>
      </w:r>
      <w:r w:rsidR="005A2FA4" w:rsidRPr="00D34627">
        <w:rPr>
          <w:rFonts w:ascii="Times New Roman" w:hAnsi="Times New Roman" w:cs="Times New Roman"/>
          <w:lang w:val="en-GB"/>
        </w:rPr>
        <w:t>A</w:t>
      </w:r>
      <w:r w:rsidR="00C40135" w:rsidRPr="00D34627">
        <w:rPr>
          <w:rFonts w:ascii="Times New Roman" w:hAnsi="Times New Roman" w:cs="Times New Roman"/>
          <w:lang w:val="en-GB"/>
        </w:rPr>
        <w:t>mnesty</w:t>
      </w:r>
      <w:r w:rsidR="003A0633">
        <w:rPr>
          <w:rFonts w:ascii="Times New Roman" w:hAnsi="Times New Roman" w:cs="Times New Roman"/>
          <w:lang w:val="en-GB"/>
        </w:rPr>
        <w:t xml:space="preserve"> International is deeply concerned</w:t>
      </w:r>
      <w:r w:rsidR="005A2FA4" w:rsidRPr="00D34627">
        <w:rPr>
          <w:rFonts w:ascii="Times New Roman" w:hAnsi="Times New Roman" w:cs="Times New Roman"/>
          <w:lang w:val="en-GB"/>
        </w:rPr>
        <w:t xml:space="preserve"> that the adoption</w:t>
      </w:r>
      <w:r w:rsidR="003A0633">
        <w:rPr>
          <w:rFonts w:ascii="Times New Roman" w:hAnsi="Times New Roman" w:cs="Times New Roman"/>
          <w:lang w:val="en-GB"/>
        </w:rPr>
        <w:t xml:space="preserve"> or acceptance</w:t>
      </w:r>
      <w:r w:rsidR="005A2FA4" w:rsidRPr="00D34627">
        <w:rPr>
          <w:rFonts w:ascii="Times New Roman" w:hAnsi="Times New Roman" w:cs="Times New Roman"/>
          <w:lang w:val="en-GB"/>
        </w:rPr>
        <w:t xml:space="preserve"> of Canada’s</w:t>
      </w:r>
      <w:r w:rsidR="0082419C" w:rsidRPr="00D34627">
        <w:rPr>
          <w:rFonts w:ascii="Times New Roman" w:hAnsi="Times New Roman" w:cs="Times New Roman"/>
          <w:lang w:val="en-GB"/>
        </w:rPr>
        <w:t xml:space="preserve"> </w:t>
      </w:r>
      <w:r w:rsidR="005A2FA4" w:rsidRPr="00D34627">
        <w:rPr>
          <w:rFonts w:ascii="Times New Roman" w:hAnsi="Times New Roman" w:cs="Times New Roman"/>
          <w:lang w:val="en-GB"/>
        </w:rPr>
        <w:t xml:space="preserve">position would be </w:t>
      </w:r>
      <w:r w:rsidR="00143E67" w:rsidRPr="00D34627">
        <w:rPr>
          <w:rFonts w:ascii="Times New Roman" w:hAnsi="Times New Roman" w:cs="Times New Roman"/>
          <w:lang w:val="en-GB"/>
        </w:rPr>
        <w:t xml:space="preserve">a </w:t>
      </w:r>
      <w:r w:rsidR="005A2FA4" w:rsidRPr="00D34627">
        <w:rPr>
          <w:rFonts w:ascii="Times New Roman" w:hAnsi="Times New Roman" w:cs="Times New Roman"/>
          <w:lang w:val="en-GB"/>
        </w:rPr>
        <w:t xml:space="preserve">regressive </w:t>
      </w:r>
      <w:r w:rsidR="00143E67" w:rsidRPr="00D34627">
        <w:rPr>
          <w:rFonts w:ascii="Times New Roman" w:hAnsi="Times New Roman" w:cs="Times New Roman"/>
          <w:lang w:val="en-GB"/>
        </w:rPr>
        <w:t>step in the development of international</w:t>
      </w:r>
      <w:r w:rsidR="003A0633">
        <w:rPr>
          <w:rFonts w:ascii="Times New Roman" w:hAnsi="Times New Roman" w:cs="Times New Roman"/>
          <w:lang w:val="en-GB"/>
        </w:rPr>
        <w:t xml:space="preserve"> human rights</w:t>
      </w:r>
      <w:r w:rsidR="00143E67" w:rsidRPr="00D34627">
        <w:rPr>
          <w:rFonts w:ascii="Times New Roman" w:hAnsi="Times New Roman" w:cs="Times New Roman"/>
          <w:lang w:val="en-GB"/>
        </w:rPr>
        <w:t xml:space="preserve"> law </w:t>
      </w:r>
      <w:r w:rsidR="005A2FA4" w:rsidRPr="00D34627">
        <w:rPr>
          <w:rFonts w:ascii="Times New Roman" w:hAnsi="Times New Roman" w:cs="Times New Roman"/>
          <w:lang w:val="en-GB"/>
        </w:rPr>
        <w:t xml:space="preserve">and damaging to the decades of </w:t>
      </w:r>
      <w:r w:rsidR="00910845" w:rsidRPr="00D34627">
        <w:rPr>
          <w:rFonts w:ascii="Times New Roman" w:hAnsi="Times New Roman" w:cs="Times New Roman"/>
          <w:lang w:val="en-GB"/>
        </w:rPr>
        <w:t>international legal advocacy</w:t>
      </w:r>
      <w:r w:rsidR="005A2FA4" w:rsidRPr="00D34627">
        <w:rPr>
          <w:rFonts w:ascii="Times New Roman" w:hAnsi="Times New Roman" w:cs="Times New Roman"/>
          <w:lang w:val="en-GB"/>
        </w:rPr>
        <w:t xml:space="preserve"> to recognize </w:t>
      </w:r>
      <w:r w:rsidR="00C40135" w:rsidRPr="00D34627">
        <w:rPr>
          <w:rFonts w:ascii="Times New Roman" w:hAnsi="Times New Roman" w:cs="Times New Roman"/>
          <w:lang w:val="en-GB"/>
        </w:rPr>
        <w:t xml:space="preserve">that </w:t>
      </w:r>
      <w:r w:rsidR="005A2FA4" w:rsidRPr="00D34627">
        <w:rPr>
          <w:rFonts w:ascii="Times New Roman" w:hAnsi="Times New Roman" w:cs="Times New Roman"/>
          <w:lang w:val="en-GB"/>
        </w:rPr>
        <w:t xml:space="preserve">violence against women </w:t>
      </w:r>
      <w:r w:rsidR="00721A94" w:rsidRPr="00D34627">
        <w:rPr>
          <w:rFonts w:ascii="Times New Roman" w:hAnsi="Times New Roman" w:cs="Times New Roman"/>
          <w:lang w:val="en-GB"/>
        </w:rPr>
        <w:t>and gender-based violence</w:t>
      </w:r>
      <w:r w:rsidR="003A0633">
        <w:rPr>
          <w:rFonts w:ascii="Times New Roman" w:hAnsi="Times New Roman" w:cs="Times New Roman"/>
          <w:lang w:val="en-GB"/>
        </w:rPr>
        <w:t>, including by non-</w:t>
      </w:r>
      <w:r w:rsidR="00386AD4">
        <w:rPr>
          <w:rFonts w:ascii="Times New Roman" w:hAnsi="Times New Roman" w:cs="Times New Roman"/>
          <w:lang w:val="en-GB"/>
        </w:rPr>
        <w:t>s</w:t>
      </w:r>
      <w:r w:rsidR="003A0633">
        <w:rPr>
          <w:rFonts w:ascii="Times New Roman" w:hAnsi="Times New Roman" w:cs="Times New Roman"/>
          <w:lang w:val="en-GB"/>
        </w:rPr>
        <w:t>tate actors,</w:t>
      </w:r>
      <w:r w:rsidR="00721A94" w:rsidRPr="00D34627">
        <w:rPr>
          <w:rFonts w:ascii="Times New Roman" w:hAnsi="Times New Roman" w:cs="Times New Roman"/>
          <w:lang w:val="en-GB"/>
        </w:rPr>
        <w:t xml:space="preserve"> are </w:t>
      </w:r>
      <w:r w:rsidR="00396CDA" w:rsidRPr="00D34627">
        <w:rPr>
          <w:rFonts w:ascii="Times New Roman" w:hAnsi="Times New Roman" w:cs="Times New Roman"/>
          <w:lang w:val="en-GB"/>
        </w:rPr>
        <w:t>grave</w:t>
      </w:r>
      <w:r w:rsidR="00C40135" w:rsidRPr="00D34627">
        <w:rPr>
          <w:rFonts w:ascii="Times New Roman" w:hAnsi="Times New Roman" w:cs="Times New Roman"/>
          <w:lang w:val="en-GB"/>
        </w:rPr>
        <w:t xml:space="preserve"> violation</w:t>
      </w:r>
      <w:r w:rsidR="00DD774E">
        <w:rPr>
          <w:rFonts w:ascii="Times New Roman" w:hAnsi="Times New Roman" w:cs="Times New Roman"/>
          <w:lang w:val="en-GB"/>
        </w:rPr>
        <w:t>s</w:t>
      </w:r>
      <w:r w:rsidR="00C40135" w:rsidRPr="00D34627">
        <w:rPr>
          <w:rFonts w:ascii="Times New Roman" w:hAnsi="Times New Roman" w:cs="Times New Roman"/>
          <w:lang w:val="en-GB"/>
        </w:rPr>
        <w:t xml:space="preserve"> of numerous international human rights, including in many circumstances the </w:t>
      </w:r>
      <w:r w:rsidR="003A0633">
        <w:rPr>
          <w:rFonts w:ascii="Times New Roman" w:hAnsi="Times New Roman" w:cs="Times New Roman"/>
          <w:lang w:val="en-GB"/>
        </w:rPr>
        <w:t>right to be free from</w:t>
      </w:r>
      <w:r w:rsidR="00C40135" w:rsidRPr="00D34627">
        <w:rPr>
          <w:rFonts w:ascii="Times New Roman" w:hAnsi="Times New Roman" w:cs="Times New Roman"/>
          <w:lang w:val="en-GB"/>
        </w:rPr>
        <w:t xml:space="preserve"> torture and</w:t>
      </w:r>
      <w:r w:rsidR="003A0633">
        <w:rPr>
          <w:rFonts w:ascii="Times New Roman" w:hAnsi="Times New Roman" w:cs="Times New Roman"/>
          <w:lang w:val="en-GB"/>
        </w:rPr>
        <w:t xml:space="preserve"> other</w:t>
      </w:r>
      <w:r w:rsidR="00C40135" w:rsidRPr="00D34627">
        <w:rPr>
          <w:rFonts w:ascii="Times New Roman" w:hAnsi="Times New Roman" w:cs="Times New Roman"/>
          <w:lang w:val="en-GB"/>
        </w:rPr>
        <w:t xml:space="preserve"> ill-treatment.</w:t>
      </w:r>
      <w:r w:rsidR="005A2FA4" w:rsidRPr="00D34627">
        <w:rPr>
          <w:rFonts w:ascii="Times New Roman" w:hAnsi="Times New Roman" w:cs="Times New Roman"/>
          <w:lang w:val="en-GB"/>
        </w:rPr>
        <w:t xml:space="preserve"> </w:t>
      </w:r>
    </w:p>
    <w:p w14:paraId="51A2522A" w14:textId="46B2027C" w:rsidR="00BB23B2" w:rsidRPr="00D34627" w:rsidRDefault="00BB23B2" w:rsidP="00C6613D">
      <w:pPr>
        <w:jc w:val="both"/>
        <w:rPr>
          <w:rFonts w:ascii="Times New Roman" w:hAnsi="Times New Roman" w:cs="Times New Roman"/>
          <w:lang w:val="en-GB"/>
        </w:rPr>
      </w:pPr>
    </w:p>
    <w:p w14:paraId="2869DA66" w14:textId="4EB6E319" w:rsidR="002C477A" w:rsidRPr="002C477A" w:rsidRDefault="00BF2B5F" w:rsidP="006D041C">
      <w:pPr>
        <w:jc w:val="both"/>
        <w:rPr>
          <w:rFonts w:ascii="Times New Roman" w:hAnsi="Times New Roman" w:cs="Times New Roman"/>
          <w:lang w:val="en-GB"/>
        </w:rPr>
      </w:pPr>
      <w:r w:rsidRPr="00D34627">
        <w:rPr>
          <w:rFonts w:ascii="Times New Roman" w:hAnsi="Times New Roman" w:cs="Times New Roman"/>
          <w:lang w:val="en-GB"/>
        </w:rPr>
        <w:t xml:space="preserve">Canada’s </w:t>
      </w:r>
      <w:r w:rsidR="003A0633">
        <w:rPr>
          <w:rFonts w:ascii="Times New Roman" w:hAnsi="Times New Roman" w:cs="Times New Roman"/>
          <w:lang w:val="en-GB"/>
        </w:rPr>
        <w:t>claim</w:t>
      </w:r>
      <w:r w:rsidR="003A0633" w:rsidRPr="00D34627">
        <w:rPr>
          <w:rFonts w:ascii="Times New Roman" w:hAnsi="Times New Roman" w:cs="Times New Roman"/>
          <w:lang w:val="en-GB"/>
        </w:rPr>
        <w:t xml:space="preserve"> </w:t>
      </w:r>
      <w:r w:rsidRPr="00D34627">
        <w:rPr>
          <w:rFonts w:ascii="Times New Roman" w:hAnsi="Times New Roman" w:cs="Times New Roman"/>
          <w:lang w:val="en-GB"/>
        </w:rPr>
        <w:t xml:space="preserve">that there has not been acquiescence by the </w:t>
      </w:r>
      <w:r w:rsidR="002C477A">
        <w:rPr>
          <w:rFonts w:ascii="Times New Roman" w:hAnsi="Times New Roman" w:cs="Times New Roman"/>
          <w:lang w:val="en-GB"/>
        </w:rPr>
        <w:t>S</w:t>
      </w:r>
      <w:r w:rsidRPr="00D34627">
        <w:rPr>
          <w:rFonts w:ascii="Times New Roman" w:hAnsi="Times New Roman" w:cs="Times New Roman"/>
          <w:lang w:val="en-GB"/>
        </w:rPr>
        <w:t>tate in the longstanding and entrenched patter</w:t>
      </w:r>
      <w:r w:rsidR="002C477A">
        <w:rPr>
          <w:rFonts w:ascii="Times New Roman" w:hAnsi="Times New Roman" w:cs="Times New Roman"/>
          <w:lang w:val="en-GB"/>
        </w:rPr>
        <w:t>n</w:t>
      </w:r>
      <w:r w:rsidRPr="00D34627">
        <w:rPr>
          <w:rFonts w:ascii="Times New Roman" w:hAnsi="Times New Roman" w:cs="Times New Roman"/>
          <w:lang w:val="en-GB"/>
        </w:rPr>
        <w:t xml:space="preserve"> of violence against Indigenous women and girls is clearly contradicted by the numerous</w:t>
      </w:r>
      <w:r w:rsidR="003A0633">
        <w:rPr>
          <w:rFonts w:ascii="Times New Roman" w:hAnsi="Times New Roman" w:cs="Times New Roman"/>
          <w:lang w:val="en-GB"/>
        </w:rPr>
        <w:t xml:space="preserve"> concerns expressed and</w:t>
      </w:r>
      <w:r w:rsidRPr="00D34627">
        <w:rPr>
          <w:rFonts w:ascii="Times New Roman" w:hAnsi="Times New Roman" w:cs="Times New Roman"/>
          <w:lang w:val="en-GB"/>
        </w:rPr>
        <w:t xml:space="preserve"> recommendations made by various UN and </w:t>
      </w:r>
      <w:r w:rsidR="002C477A">
        <w:rPr>
          <w:rFonts w:ascii="Times New Roman" w:hAnsi="Times New Roman" w:cs="Times New Roman"/>
          <w:lang w:val="en-GB"/>
        </w:rPr>
        <w:t>Regional</w:t>
      </w:r>
      <w:r w:rsidRPr="00D34627">
        <w:rPr>
          <w:rFonts w:ascii="Times New Roman" w:hAnsi="Times New Roman" w:cs="Times New Roman"/>
          <w:lang w:val="en-GB"/>
        </w:rPr>
        <w:t xml:space="preserve"> human rights bodies and experts over the years pointing to systemic government failure to</w:t>
      </w:r>
      <w:r w:rsidR="003A0633">
        <w:rPr>
          <w:rFonts w:ascii="Times New Roman" w:hAnsi="Times New Roman" w:cs="Times New Roman"/>
          <w:lang w:val="en-GB"/>
        </w:rPr>
        <w:t xml:space="preserve"> prevent</w:t>
      </w:r>
      <w:r w:rsidR="00D972E6">
        <w:rPr>
          <w:rFonts w:ascii="Times New Roman" w:hAnsi="Times New Roman" w:cs="Times New Roman"/>
          <w:lang w:val="en-GB"/>
        </w:rPr>
        <w:t>,</w:t>
      </w:r>
      <w:r w:rsidRPr="00D34627">
        <w:rPr>
          <w:rFonts w:ascii="Times New Roman" w:hAnsi="Times New Roman" w:cs="Times New Roman"/>
          <w:lang w:val="en-GB"/>
        </w:rPr>
        <w:t xml:space="preserve"> </w:t>
      </w:r>
      <w:r w:rsidR="003A0633">
        <w:rPr>
          <w:rFonts w:ascii="Times New Roman" w:hAnsi="Times New Roman" w:cs="Times New Roman"/>
          <w:lang w:val="en-GB"/>
        </w:rPr>
        <w:t>stop, punish</w:t>
      </w:r>
      <w:r w:rsidRPr="00D34627">
        <w:rPr>
          <w:rFonts w:ascii="Times New Roman" w:hAnsi="Times New Roman" w:cs="Times New Roman"/>
          <w:lang w:val="en-GB"/>
        </w:rPr>
        <w:t xml:space="preserve"> or</w:t>
      </w:r>
      <w:r w:rsidR="003A0633">
        <w:rPr>
          <w:rFonts w:ascii="Times New Roman" w:hAnsi="Times New Roman" w:cs="Times New Roman"/>
          <w:lang w:val="en-GB"/>
        </w:rPr>
        <w:t xml:space="preserve"> ensure</w:t>
      </w:r>
      <w:r w:rsidRPr="00D34627">
        <w:rPr>
          <w:rFonts w:ascii="Times New Roman" w:hAnsi="Times New Roman" w:cs="Times New Roman"/>
          <w:lang w:val="en-GB"/>
        </w:rPr>
        <w:t xml:space="preserve"> redress</w:t>
      </w:r>
      <w:r w:rsidR="003A0633">
        <w:rPr>
          <w:rFonts w:ascii="Times New Roman" w:hAnsi="Times New Roman" w:cs="Times New Roman"/>
          <w:lang w:val="en-GB"/>
        </w:rPr>
        <w:t xml:space="preserve"> for</w:t>
      </w:r>
      <w:r w:rsidRPr="00D34627">
        <w:rPr>
          <w:rFonts w:ascii="Times New Roman" w:hAnsi="Times New Roman" w:cs="Times New Roman"/>
          <w:lang w:val="en-GB"/>
        </w:rPr>
        <w:t xml:space="preserve"> such violence. It is also belied by the commendable and long overdue step that the </w:t>
      </w:r>
      <w:r w:rsidR="006C6B06">
        <w:rPr>
          <w:rFonts w:ascii="Times New Roman" w:hAnsi="Times New Roman" w:cs="Times New Roman"/>
          <w:lang w:val="en-GB"/>
        </w:rPr>
        <w:t>Canadian</w:t>
      </w:r>
      <w:r w:rsidRPr="00D34627">
        <w:rPr>
          <w:rFonts w:ascii="Times New Roman" w:hAnsi="Times New Roman" w:cs="Times New Roman"/>
          <w:lang w:val="en-GB"/>
        </w:rPr>
        <w:t xml:space="preserve"> government itself has taken in establishing a National Inquiry into Missing and Murdered Indigenous Women and Girls,</w:t>
      </w:r>
      <w:r w:rsidR="00EE493E">
        <w:rPr>
          <w:rStyle w:val="FootnoteReference"/>
          <w:rFonts w:ascii="Times New Roman" w:hAnsi="Times New Roman" w:cs="Times New Roman"/>
          <w:lang w:val="en-GB"/>
        </w:rPr>
        <w:footnoteReference w:id="45"/>
      </w:r>
      <w:r w:rsidRPr="00D34627">
        <w:rPr>
          <w:rFonts w:ascii="Times New Roman" w:hAnsi="Times New Roman" w:cs="Times New Roman"/>
          <w:lang w:val="en-GB"/>
        </w:rPr>
        <w:t xml:space="preserve"> the </w:t>
      </w:r>
      <w:r w:rsidR="006D041C">
        <w:rPr>
          <w:rFonts w:ascii="Times New Roman" w:hAnsi="Times New Roman" w:cs="Times New Roman"/>
          <w:lang w:val="en-GB"/>
        </w:rPr>
        <w:t>goal</w:t>
      </w:r>
      <w:r w:rsidRPr="00D34627">
        <w:rPr>
          <w:rFonts w:ascii="Times New Roman" w:hAnsi="Times New Roman" w:cs="Times New Roman"/>
          <w:lang w:val="en-GB"/>
        </w:rPr>
        <w:t xml:space="preserve"> of which</w:t>
      </w:r>
      <w:r w:rsidR="006D041C">
        <w:rPr>
          <w:rFonts w:ascii="Times New Roman" w:hAnsi="Times New Roman" w:cs="Times New Roman"/>
          <w:lang w:val="en-GB"/>
        </w:rPr>
        <w:t>, in Canada’s words,</w:t>
      </w:r>
      <w:r w:rsidRPr="00D34627">
        <w:rPr>
          <w:rFonts w:ascii="Times New Roman" w:hAnsi="Times New Roman" w:cs="Times New Roman"/>
          <w:lang w:val="en-GB"/>
        </w:rPr>
        <w:t xml:space="preserve"> is</w:t>
      </w:r>
      <w:r w:rsidR="006D041C">
        <w:rPr>
          <w:rFonts w:ascii="Times New Roman" w:hAnsi="Times New Roman" w:cs="Times New Roman"/>
          <w:lang w:val="en-GB"/>
        </w:rPr>
        <w:t xml:space="preserve"> to “</w:t>
      </w:r>
      <w:r w:rsidR="006D041C" w:rsidRPr="006D041C">
        <w:rPr>
          <w:rFonts w:ascii="Times New Roman" w:hAnsi="Times New Roman" w:cs="Times New Roman"/>
          <w:lang w:val="en-CA"/>
        </w:rPr>
        <w:t>address and prevent violence against Indigenous women and girls</w:t>
      </w:r>
      <w:r w:rsidR="006D041C">
        <w:rPr>
          <w:rFonts w:ascii="Times New Roman" w:hAnsi="Times New Roman" w:cs="Times New Roman"/>
          <w:lang w:val="en-CA"/>
        </w:rPr>
        <w:t>.”</w:t>
      </w:r>
      <w:r w:rsidR="006D041C">
        <w:rPr>
          <w:rStyle w:val="FootnoteReference"/>
          <w:rFonts w:ascii="Times New Roman" w:hAnsi="Times New Roman" w:cs="Times New Roman"/>
          <w:lang w:val="en-GB"/>
        </w:rPr>
        <w:footnoteReference w:id="46"/>
      </w:r>
      <w:r w:rsidR="00EE493E">
        <w:rPr>
          <w:rFonts w:ascii="Times New Roman" w:hAnsi="Times New Roman" w:cs="Times New Roman"/>
          <w:lang w:val="en-GB"/>
        </w:rPr>
        <w:t xml:space="preserve"> </w:t>
      </w:r>
    </w:p>
    <w:p w14:paraId="285C488C" w14:textId="77777777" w:rsidR="002C477A" w:rsidRDefault="002C477A" w:rsidP="006D041C">
      <w:pPr>
        <w:jc w:val="both"/>
        <w:rPr>
          <w:rFonts w:ascii="Times New Roman" w:hAnsi="Times New Roman" w:cs="Times New Roman"/>
          <w:lang w:val="en-GB"/>
        </w:rPr>
      </w:pPr>
    </w:p>
    <w:p w14:paraId="1F9F716F" w14:textId="6050A1DE" w:rsidR="00810FC4" w:rsidRPr="00D34627" w:rsidRDefault="002C477A" w:rsidP="006D041C">
      <w:pPr>
        <w:jc w:val="both"/>
        <w:rPr>
          <w:rFonts w:ascii="Times New Roman" w:hAnsi="Times New Roman" w:cs="Times New Roman"/>
          <w:lang w:val="en-GB"/>
        </w:rPr>
      </w:pPr>
      <w:r>
        <w:rPr>
          <w:rFonts w:ascii="Times New Roman" w:hAnsi="Times New Roman" w:cs="Times New Roman"/>
          <w:lang w:val="en-GB"/>
        </w:rPr>
        <w:t>I</w:t>
      </w:r>
      <w:r w:rsidR="00D70B03">
        <w:rPr>
          <w:rFonts w:ascii="Times New Roman" w:hAnsi="Times New Roman" w:cs="Times New Roman"/>
          <w:lang w:val="en-GB"/>
        </w:rPr>
        <w:t>n Amnesty International’s vie</w:t>
      </w:r>
      <w:r>
        <w:rPr>
          <w:rFonts w:ascii="Times New Roman" w:hAnsi="Times New Roman" w:cs="Times New Roman"/>
          <w:lang w:val="en-GB"/>
        </w:rPr>
        <w:t>w, violence against Indigenous wom</w:t>
      </w:r>
      <w:r w:rsidR="009F1781">
        <w:rPr>
          <w:rFonts w:ascii="Times New Roman" w:hAnsi="Times New Roman" w:cs="Times New Roman"/>
          <w:lang w:val="en-GB"/>
        </w:rPr>
        <w:t>e</w:t>
      </w:r>
      <w:r>
        <w:rPr>
          <w:rFonts w:ascii="Times New Roman" w:hAnsi="Times New Roman" w:cs="Times New Roman"/>
          <w:lang w:val="en-GB"/>
        </w:rPr>
        <w:t>n and girls</w:t>
      </w:r>
      <w:r w:rsidR="00BF2B5F" w:rsidRPr="00D34627">
        <w:rPr>
          <w:rFonts w:ascii="Times New Roman" w:hAnsi="Times New Roman" w:cs="Times New Roman"/>
          <w:lang w:val="en-GB"/>
        </w:rPr>
        <w:t xml:space="preserve"> </w:t>
      </w:r>
      <w:r w:rsidR="006C6B06">
        <w:rPr>
          <w:rFonts w:ascii="Times New Roman" w:hAnsi="Times New Roman" w:cs="Times New Roman"/>
          <w:lang w:val="en-GB"/>
        </w:rPr>
        <w:t xml:space="preserve">is the result of State inaction to remedy the lasting impacts of colonialism, institutionalized racism and </w:t>
      </w:r>
      <w:r w:rsidR="00DD774E">
        <w:rPr>
          <w:rFonts w:ascii="Times New Roman" w:hAnsi="Times New Roman" w:cs="Times New Roman"/>
          <w:lang w:val="en-GB"/>
        </w:rPr>
        <w:t xml:space="preserve">glaring </w:t>
      </w:r>
      <w:r w:rsidR="00D309A7">
        <w:rPr>
          <w:rFonts w:ascii="Times New Roman" w:hAnsi="Times New Roman" w:cs="Times New Roman"/>
          <w:lang w:val="en-GB"/>
        </w:rPr>
        <w:t>socioeconomic</w:t>
      </w:r>
      <w:r w:rsidR="00DD774E">
        <w:rPr>
          <w:rFonts w:ascii="Times New Roman" w:hAnsi="Times New Roman" w:cs="Times New Roman"/>
          <w:lang w:val="en-GB"/>
        </w:rPr>
        <w:t xml:space="preserve"> inequities</w:t>
      </w:r>
      <w:r w:rsidR="009F1781">
        <w:rPr>
          <w:rFonts w:ascii="Times New Roman" w:hAnsi="Times New Roman" w:cs="Times New Roman"/>
          <w:lang w:val="en-GB"/>
        </w:rPr>
        <w:t xml:space="preserve"> including widespread poverty. It </w:t>
      </w:r>
      <w:r w:rsidR="009F1781" w:rsidRPr="00D34627">
        <w:rPr>
          <w:rFonts w:ascii="Times New Roman" w:hAnsi="Times New Roman" w:cs="Times New Roman"/>
          <w:lang w:val="en-GB"/>
        </w:rPr>
        <w:t xml:space="preserve">is one of the </w:t>
      </w:r>
      <w:r w:rsidR="009F1781">
        <w:rPr>
          <w:rFonts w:ascii="Times New Roman" w:hAnsi="Times New Roman" w:cs="Times New Roman"/>
          <w:lang w:val="en-GB"/>
        </w:rPr>
        <w:t>strongest possible</w:t>
      </w:r>
      <w:r w:rsidR="009F1781" w:rsidRPr="00D34627">
        <w:rPr>
          <w:rFonts w:ascii="Times New Roman" w:hAnsi="Times New Roman" w:cs="Times New Roman"/>
          <w:lang w:val="en-GB"/>
        </w:rPr>
        <w:t xml:space="preserve"> examples of </w:t>
      </w:r>
      <w:r w:rsidR="009F1781">
        <w:rPr>
          <w:rFonts w:ascii="Times New Roman" w:hAnsi="Times New Roman" w:cs="Times New Roman"/>
          <w:lang w:val="en-GB"/>
        </w:rPr>
        <w:t>a</w:t>
      </w:r>
      <w:r w:rsidR="009F1781" w:rsidRPr="00D34627">
        <w:rPr>
          <w:rFonts w:ascii="Times New Roman" w:hAnsi="Times New Roman" w:cs="Times New Roman"/>
          <w:lang w:val="en-GB"/>
        </w:rPr>
        <w:t xml:space="preserve"> failure of due diligence at all levels of governmen</w:t>
      </w:r>
      <w:r w:rsidR="009F1781">
        <w:rPr>
          <w:rFonts w:ascii="Times New Roman" w:hAnsi="Times New Roman" w:cs="Times New Roman"/>
          <w:lang w:val="en-GB"/>
        </w:rPr>
        <w:t xml:space="preserve">t. </w:t>
      </w:r>
      <w:r w:rsidR="00DD774E">
        <w:rPr>
          <w:rFonts w:ascii="Times New Roman" w:hAnsi="Times New Roman" w:cs="Times New Roman"/>
          <w:lang w:val="en-GB"/>
        </w:rPr>
        <w:t>It is Amnesty International’s submission that in this context and</w:t>
      </w:r>
      <w:r>
        <w:rPr>
          <w:rFonts w:ascii="Times New Roman" w:hAnsi="Times New Roman" w:cs="Times New Roman"/>
          <w:lang w:val="en-GB"/>
        </w:rPr>
        <w:t xml:space="preserve"> for the purposes of the Convention, when such violence is</w:t>
      </w:r>
      <w:r w:rsidR="00D70B03">
        <w:rPr>
          <w:rFonts w:ascii="Times New Roman" w:hAnsi="Times New Roman" w:cs="Times New Roman"/>
          <w:lang w:val="en-GB"/>
        </w:rPr>
        <w:t xml:space="preserve"> directly perpetrated by non-</w:t>
      </w:r>
      <w:r w:rsidR="00386AD4">
        <w:rPr>
          <w:rFonts w:ascii="Times New Roman" w:hAnsi="Times New Roman" w:cs="Times New Roman"/>
          <w:lang w:val="en-GB"/>
        </w:rPr>
        <w:t>s</w:t>
      </w:r>
      <w:r w:rsidR="00D70B03">
        <w:rPr>
          <w:rFonts w:ascii="Times New Roman" w:hAnsi="Times New Roman" w:cs="Times New Roman"/>
          <w:lang w:val="en-GB"/>
        </w:rPr>
        <w:t>tate actors</w:t>
      </w:r>
      <w:bookmarkStart w:id="5" w:name="_GoBack"/>
      <w:bookmarkEnd w:id="5"/>
      <w:r w:rsidR="00D70B03">
        <w:rPr>
          <w:rFonts w:ascii="Times New Roman" w:hAnsi="Times New Roman" w:cs="Times New Roman"/>
          <w:lang w:val="en-GB"/>
        </w:rPr>
        <w:t xml:space="preserve"> </w:t>
      </w:r>
      <w:r>
        <w:rPr>
          <w:rFonts w:ascii="Times New Roman" w:hAnsi="Times New Roman" w:cs="Times New Roman"/>
          <w:lang w:val="en-GB"/>
        </w:rPr>
        <w:t>it is</w:t>
      </w:r>
      <w:r w:rsidR="00D70B03">
        <w:rPr>
          <w:rFonts w:ascii="Times New Roman" w:hAnsi="Times New Roman" w:cs="Times New Roman"/>
          <w:lang w:val="en-GB"/>
        </w:rPr>
        <w:t xml:space="preserve"> inflicted with the consent or acquiescence of officials</w:t>
      </w:r>
      <w:r w:rsidR="00BF2B5F" w:rsidRPr="00D34627">
        <w:rPr>
          <w:rFonts w:ascii="Times New Roman" w:hAnsi="Times New Roman" w:cs="Times New Roman"/>
          <w:lang w:val="en-GB"/>
        </w:rPr>
        <w:t xml:space="preserve">. </w:t>
      </w:r>
    </w:p>
    <w:sectPr w:rsidR="00810FC4" w:rsidRPr="00D34627" w:rsidSect="00186FC8">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D4612" w14:textId="77777777" w:rsidR="00BC7F7C" w:rsidRDefault="00BC7F7C" w:rsidP="007866F9">
      <w:r>
        <w:separator/>
      </w:r>
    </w:p>
  </w:endnote>
  <w:endnote w:type="continuationSeparator" w:id="0">
    <w:p w14:paraId="6156C979" w14:textId="77777777" w:rsidR="00BC7F7C" w:rsidRDefault="00BC7F7C" w:rsidP="0078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0426851"/>
      <w:docPartObj>
        <w:docPartGallery w:val="Page Numbers (Bottom of Page)"/>
        <w:docPartUnique/>
      </w:docPartObj>
    </w:sdtPr>
    <w:sdtEndPr>
      <w:rPr>
        <w:rStyle w:val="PageNumber"/>
      </w:rPr>
    </w:sdtEndPr>
    <w:sdtContent>
      <w:p w14:paraId="051C1240" w14:textId="696F8DD0" w:rsidR="00996B83" w:rsidRDefault="00996B83" w:rsidP="00CB62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973B9F" w14:textId="77777777" w:rsidR="00996B83" w:rsidRDefault="00996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3895521"/>
      <w:docPartObj>
        <w:docPartGallery w:val="Page Numbers (Bottom of Page)"/>
        <w:docPartUnique/>
      </w:docPartObj>
    </w:sdtPr>
    <w:sdtEndPr>
      <w:rPr>
        <w:rStyle w:val="PageNumber"/>
      </w:rPr>
    </w:sdtEndPr>
    <w:sdtContent>
      <w:p w14:paraId="4BDF24A7" w14:textId="0579F76E" w:rsidR="00996B83" w:rsidRDefault="00996B83" w:rsidP="00CB62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12D018DD" w14:textId="77777777" w:rsidR="00996B83" w:rsidRDefault="00996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33EEE" w14:textId="77777777" w:rsidR="00BC7F7C" w:rsidRDefault="00BC7F7C" w:rsidP="007866F9">
      <w:r>
        <w:separator/>
      </w:r>
    </w:p>
  </w:footnote>
  <w:footnote w:type="continuationSeparator" w:id="0">
    <w:p w14:paraId="7C84315F" w14:textId="77777777" w:rsidR="00BC7F7C" w:rsidRDefault="00BC7F7C" w:rsidP="007866F9">
      <w:r>
        <w:continuationSeparator/>
      </w:r>
    </w:p>
  </w:footnote>
  <w:footnote w:id="1">
    <w:p w14:paraId="1324DA3D" w14:textId="0B6D3E5B" w:rsidR="00996B83" w:rsidRPr="001D69D0" w:rsidRDefault="00996B83">
      <w:pPr>
        <w:pStyle w:val="FootnoteText"/>
        <w:rPr>
          <w:rFonts w:ascii="Times New Roman" w:hAnsi="Times New Roman" w:cs="Times New Roman"/>
          <w:i/>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w:t>
      </w:r>
      <w:r w:rsidRPr="001D69D0">
        <w:rPr>
          <w:rFonts w:ascii="Times New Roman" w:hAnsi="Times New Roman" w:cs="Times New Roman"/>
          <w:i/>
          <w:iCs/>
          <w:lang w:val="en-GB"/>
        </w:rPr>
        <w:t>Convention Against Torture and Other Cruel, Inhuman or Degrading Treatment or Punishment</w:t>
      </w:r>
      <w:r w:rsidRPr="001D69D0">
        <w:rPr>
          <w:rFonts w:ascii="Times New Roman" w:hAnsi="Times New Roman" w:cs="Times New Roman"/>
          <w:lang w:val="en-GB"/>
        </w:rPr>
        <w:t>, adopted by UN General Assembly, 10 December 1984, 1465 UNTS 85, [“Convention against Torture”].</w:t>
      </w:r>
    </w:p>
  </w:footnote>
  <w:footnote w:id="2">
    <w:p w14:paraId="2B50D2A5" w14:textId="644DE284" w:rsidR="00996B83" w:rsidRPr="001D69D0" w:rsidRDefault="00996B83" w:rsidP="00C73C8C">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Committee against Torture, </w:t>
      </w:r>
      <w:r w:rsidRPr="001D69D0">
        <w:rPr>
          <w:rFonts w:ascii="Times New Roman" w:hAnsi="Times New Roman" w:cs="Times New Roman"/>
          <w:i/>
          <w:lang w:val="en-GB"/>
        </w:rPr>
        <w:t>Consideration of reports submitted by States parties under article 19: Canada</w:t>
      </w:r>
      <w:r w:rsidRPr="001D69D0">
        <w:rPr>
          <w:rFonts w:ascii="Times New Roman" w:hAnsi="Times New Roman" w:cs="Times New Roman"/>
          <w:lang w:val="en-GB"/>
        </w:rPr>
        <w:t xml:space="preserve">, UN Doc CAT/C/CAN/7 (13 September 2016), online: </w:t>
      </w:r>
      <w:hyperlink r:id="rId1" w:history="1">
        <w:r w:rsidRPr="001D69D0">
          <w:rPr>
            <w:rStyle w:val="Hyperlink"/>
            <w:rFonts w:ascii="Times New Roman" w:hAnsi="Times New Roman" w:cs="Times New Roman"/>
            <w:lang w:val="en-GB"/>
          </w:rPr>
          <w:t>http://undocs.org/CAT/C/CAN/7</w:t>
        </w:r>
      </w:hyperlink>
      <w:r w:rsidRPr="001D69D0">
        <w:rPr>
          <w:rFonts w:ascii="Times New Roman" w:hAnsi="Times New Roman" w:cs="Times New Roman"/>
          <w:lang w:val="en-GB"/>
        </w:rPr>
        <w:t xml:space="preserve">  [“Canada’s Submission”].</w:t>
      </w:r>
    </w:p>
  </w:footnote>
  <w:footnote w:id="3">
    <w:p w14:paraId="1AA0D5D3" w14:textId="19542A35" w:rsidR="00996B83" w:rsidRPr="001D69D0" w:rsidRDefault="00996B83">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Amnesty </w:t>
      </w:r>
      <w:r w:rsidR="008E521E" w:rsidRPr="001D69D0">
        <w:rPr>
          <w:rFonts w:ascii="Times New Roman" w:hAnsi="Times New Roman" w:cs="Times New Roman"/>
          <w:lang w:val="en-GB"/>
        </w:rPr>
        <w:t xml:space="preserve">International </w:t>
      </w:r>
      <w:r w:rsidRPr="001D69D0">
        <w:rPr>
          <w:rFonts w:ascii="Times New Roman" w:hAnsi="Times New Roman" w:cs="Times New Roman"/>
          <w:lang w:val="en-GB"/>
        </w:rPr>
        <w:t>participated in this meeting where the position was articulated.</w:t>
      </w:r>
    </w:p>
  </w:footnote>
  <w:footnote w:id="4">
    <w:p w14:paraId="0FD8D6CD" w14:textId="1AF7D379" w:rsidR="00996B83" w:rsidRPr="001D69D0" w:rsidRDefault="00996B83">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Committee against Torture, </w:t>
      </w:r>
      <w:r w:rsidRPr="001D69D0">
        <w:rPr>
          <w:rFonts w:ascii="Times New Roman" w:hAnsi="Times New Roman" w:cs="Times New Roman"/>
          <w:i/>
          <w:lang w:val="en-GB"/>
        </w:rPr>
        <w:t xml:space="preserve">General Comment No 2: Implementation of article 2 by States parties, </w:t>
      </w:r>
      <w:r w:rsidRPr="001D69D0">
        <w:rPr>
          <w:rFonts w:ascii="Times New Roman" w:hAnsi="Times New Roman" w:cs="Times New Roman"/>
          <w:lang w:val="en-GB"/>
        </w:rPr>
        <w:t xml:space="preserve">UN Doc CAT/C/GC/2 (24 January 2008), online: </w:t>
      </w:r>
      <w:hyperlink r:id="rId2" w:history="1">
        <w:r w:rsidRPr="001D69D0">
          <w:rPr>
            <w:rStyle w:val="Hyperlink"/>
            <w:rFonts w:ascii="Times New Roman" w:hAnsi="Times New Roman" w:cs="Times New Roman"/>
            <w:lang w:val="en-GB"/>
          </w:rPr>
          <w:t>http://undocs.org/CAT/C/GC/2</w:t>
        </w:r>
      </w:hyperlink>
      <w:r w:rsidRPr="001D69D0">
        <w:rPr>
          <w:rFonts w:ascii="Times New Roman" w:hAnsi="Times New Roman" w:cs="Times New Roman"/>
          <w:lang w:val="en-GB"/>
        </w:rPr>
        <w:t xml:space="preserve"> [“General Comment No. 2”].</w:t>
      </w:r>
    </w:p>
  </w:footnote>
  <w:footnote w:id="5">
    <w:p w14:paraId="6AC2B1CC" w14:textId="3CF0139A" w:rsidR="00996B83" w:rsidRPr="001D69D0" w:rsidRDefault="00996B83" w:rsidP="008F5601">
      <w:pPr>
        <w:pStyle w:val="FootnoteText"/>
        <w:rPr>
          <w:rFonts w:ascii="Times New Roman" w:hAnsi="Times New Roman" w:cs="Times New Roman"/>
          <w:lang w:val="es-ES"/>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s-ES"/>
        </w:rPr>
        <w:t xml:space="preserve"> </w:t>
      </w:r>
      <w:proofErr w:type="spellStart"/>
      <w:r w:rsidRPr="001D69D0">
        <w:rPr>
          <w:rFonts w:ascii="Times New Roman" w:hAnsi="Times New Roman" w:cs="Times New Roman"/>
          <w:i/>
          <w:lang w:val="es-ES"/>
        </w:rPr>
        <w:t>Ibid</w:t>
      </w:r>
      <w:proofErr w:type="spellEnd"/>
      <w:r w:rsidRPr="001D69D0">
        <w:rPr>
          <w:rFonts w:ascii="Times New Roman" w:hAnsi="Times New Roman" w:cs="Times New Roman"/>
          <w:i/>
          <w:lang w:val="es-ES"/>
        </w:rPr>
        <w:t>,</w:t>
      </w:r>
      <w:r w:rsidRPr="001D69D0">
        <w:rPr>
          <w:rFonts w:ascii="Times New Roman" w:hAnsi="Times New Roman" w:cs="Times New Roman"/>
          <w:lang w:val="es-ES"/>
        </w:rPr>
        <w:t xml:space="preserve"> paras 16-19.</w:t>
      </w:r>
    </w:p>
  </w:footnote>
  <w:footnote w:id="6">
    <w:p w14:paraId="4D42FAA0" w14:textId="612CC486" w:rsidR="00996B83" w:rsidRPr="001D69D0" w:rsidRDefault="00996B83">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w:t>
      </w:r>
      <w:r w:rsidRPr="001D69D0">
        <w:rPr>
          <w:rFonts w:ascii="Times New Roman" w:hAnsi="Times New Roman" w:cs="Times New Roman"/>
          <w:i/>
          <w:lang w:val="en-GB"/>
        </w:rPr>
        <w:t>Ibid</w:t>
      </w:r>
      <w:r w:rsidRPr="001D69D0">
        <w:rPr>
          <w:rFonts w:ascii="Times New Roman" w:hAnsi="Times New Roman" w:cs="Times New Roman"/>
          <w:lang w:val="en-GB"/>
        </w:rPr>
        <w:t xml:space="preserve">, para 17. </w:t>
      </w:r>
    </w:p>
  </w:footnote>
  <w:footnote w:id="7">
    <w:p w14:paraId="0578D476" w14:textId="46922754" w:rsidR="00996B83" w:rsidRPr="001D69D0" w:rsidRDefault="00996B83">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w:t>
      </w:r>
      <w:r w:rsidRPr="001D69D0">
        <w:rPr>
          <w:rFonts w:ascii="Times New Roman" w:hAnsi="Times New Roman" w:cs="Times New Roman"/>
          <w:i/>
          <w:lang w:val="en-GB"/>
        </w:rPr>
        <w:t>Ibid</w:t>
      </w:r>
      <w:r w:rsidRPr="001D69D0">
        <w:rPr>
          <w:rFonts w:ascii="Times New Roman" w:hAnsi="Times New Roman" w:cs="Times New Roman"/>
          <w:lang w:val="en-GB"/>
        </w:rPr>
        <w:t>, para 18.</w:t>
      </w:r>
    </w:p>
  </w:footnote>
  <w:footnote w:id="8">
    <w:p w14:paraId="2A55AD47" w14:textId="3078838D" w:rsidR="00996B83" w:rsidRPr="001D69D0" w:rsidRDefault="00996B83" w:rsidP="00A73648">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Felice </w:t>
      </w:r>
      <w:proofErr w:type="spellStart"/>
      <w:r w:rsidRPr="001D69D0">
        <w:rPr>
          <w:rFonts w:ascii="Times New Roman" w:hAnsi="Times New Roman" w:cs="Times New Roman"/>
          <w:lang w:val="en-GB"/>
        </w:rPr>
        <w:t>Gaer</w:t>
      </w:r>
      <w:proofErr w:type="spellEnd"/>
      <w:r w:rsidRPr="001D69D0">
        <w:rPr>
          <w:rFonts w:ascii="Times New Roman" w:hAnsi="Times New Roman" w:cs="Times New Roman"/>
          <w:lang w:val="en-GB"/>
        </w:rPr>
        <w:t xml:space="preserve">, “Violence against women by private actors: Is there State responsibility under the Convention against Torture?” (12 March 2015), </w:t>
      </w:r>
      <w:r w:rsidRPr="001D69D0">
        <w:rPr>
          <w:rFonts w:ascii="Times New Roman" w:hAnsi="Times New Roman" w:cs="Times New Roman"/>
          <w:i/>
          <w:lang w:val="en-GB"/>
        </w:rPr>
        <w:t>OMCT</w:t>
      </w:r>
      <w:r w:rsidRPr="001D69D0">
        <w:rPr>
          <w:rFonts w:ascii="Times New Roman" w:hAnsi="Times New Roman" w:cs="Times New Roman"/>
          <w:lang w:val="en-GB"/>
        </w:rPr>
        <w:t xml:space="preserve"> (blog), online: </w:t>
      </w:r>
      <w:hyperlink r:id="rId3" w:history="1">
        <w:r w:rsidRPr="001D69D0">
          <w:rPr>
            <w:rStyle w:val="Hyperlink"/>
            <w:rFonts w:ascii="Times New Roman" w:hAnsi="Times New Roman" w:cs="Times New Roman"/>
            <w:lang w:val="en-GB"/>
          </w:rPr>
          <w:t>http://blog.omct.org/violence-women-private-actors-state-responsibility-convention-torture/</w:t>
        </w:r>
      </w:hyperlink>
      <w:r w:rsidRPr="001D69D0">
        <w:rPr>
          <w:rFonts w:ascii="Times New Roman" w:hAnsi="Times New Roman" w:cs="Times New Roman"/>
          <w:lang w:val="en-GB"/>
        </w:rPr>
        <w:t xml:space="preserve">. </w:t>
      </w:r>
    </w:p>
  </w:footnote>
  <w:footnote w:id="9">
    <w:p w14:paraId="57B15846" w14:textId="246F73EC" w:rsidR="00996B83" w:rsidRPr="001D69D0" w:rsidRDefault="00996B83">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w:t>
      </w:r>
      <w:r w:rsidRPr="001D69D0">
        <w:rPr>
          <w:rFonts w:ascii="Times New Roman" w:hAnsi="Times New Roman" w:cs="Times New Roman"/>
          <w:i/>
          <w:lang w:val="en-GB"/>
        </w:rPr>
        <w:t>Ibid</w:t>
      </w:r>
      <w:r w:rsidRPr="001D69D0">
        <w:rPr>
          <w:rFonts w:ascii="Times New Roman" w:hAnsi="Times New Roman" w:cs="Times New Roman"/>
          <w:lang w:val="en-GB"/>
        </w:rPr>
        <w:t>.</w:t>
      </w:r>
    </w:p>
  </w:footnote>
  <w:footnote w:id="10">
    <w:p w14:paraId="321CBF6F" w14:textId="463E7EA4" w:rsidR="00996B83" w:rsidRPr="001D69D0" w:rsidRDefault="00996B83">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w:t>
      </w:r>
      <w:proofErr w:type="gramStart"/>
      <w:r w:rsidRPr="001D69D0">
        <w:rPr>
          <w:rFonts w:ascii="Times New Roman" w:hAnsi="Times New Roman" w:cs="Times New Roman"/>
          <w:lang w:val="en-GB"/>
        </w:rPr>
        <w:t>Canada’s Submission,</w:t>
      </w:r>
      <w:proofErr w:type="gramEnd"/>
      <w:r w:rsidRPr="001D69D0">
        <w:rPr>
          <w:rFonts w:ascii="Times New Roman" w:hAnsi="Times New Roman" w:cs="Times New Roman"/>
          <w:lang w:val="en-GB"/>
        </w:rPr>
        <w:t xml:space="preserve"> </w:t>
      </w:r>
      <w:r w:rsidRPr="001D69D0">
        <w:rPr>
          <w:rFonts w:ascii="Times New Roman" w:hAnsi="Times New Roman" w:cs="Times New Roman"/>
          <w:i/>
          <w:lang w:val="en-GB"/>
        </w:rPr>
        <w:t>supra</w:t>
      </w:r>
      <w:r w:rsidRPr="001D69D0">
        <w:rPr>
          <w:rFonts w:ascii="Times New Roman" w:hAnsi="Times New Roman" w:cs="Times New Roman"/>
          <w:lang w:val="en-GB"/>
        </w:rPr>
        <w:t xml:space="preserve"> note </w:t>
      </w:r>
      <w:r w:rsidRPr="001D69D0">
        <w:rPr>
          <w:rFonts w:ascii="Times New Roman" w:hAnsi="Times New Roman" w:cs="Times New Roman"/>
          <w:lang w:val="en-GB"/>
        </w:rPr>
        <w:fldChar w:fldCharType="begin"/>
      </w:r>
      <w:r w:rsidRPr="001D69D0">
        <w:rPr>
          <w:rFonts w:ascii="Times New Roman" w:hAnsi="Times New Roman" w:cs="Times New Roman"/>
          <w:lang w:val="en-GB"/>
        </w:rPr>
        <w:instrText xml:space="preserve"> NOTEREF _Ref529858140 \h  \* MERGEFORMAT </w:instrText>
      </w:r>
      <w:r w:rsidRPr="001D69D0">
        <w:rPr>
          <w:rFonts w:ascii="Times New Roman" w:hAnsi="Times New Roman" w:cs="Times New Roman"/>
          <w:lang w:val="en-GB"/>
        </w:rPr>
      </w:r>
      <w:r w:rsidRPr="001D69D0">
        <w:rPr>
          <w:rFonts w:ascii="Times New Roman" w:hAnsi="Times New Roman" w:cs="Times New Roman"/>
          <w:lang w:val="en-GB"/>
        </w:rPr>
        <w:fldChar w:fldCharType="separate"/>
      </w:r>
      <w:r w:rsidR="002C477A" w:rsidRPr="001D69D0">
        <w:rPr>
          <w:rFonts w:ascii="Times New Roman" w:hAnsi="Times New Roman" w:cs="Times New Roman"/>
          <w:lang w:val="en-GB"/>
        </w:rPr>
        <w:t>2</w:t>
      </w:r>
      <w:r w:rsidRPr="001D69D0">
        <w:rPr>
          <w:rFonts w:ascii="Times New Roman" w:hAnsi="Times New Roman" w:cs="Times New Roman"/>
          <w:lang w:val="en-GB"/>
        </w:rPr>
        <w:fldChar w:fldCharType="end"/>
      </w:r>
      <w:r w:rsidRPr="001D69D0">
        <w:rPr>
          <w:rFonts w:ascii="Times New Roman" w:hAnsi="Times New Roman" w:cs="Times New Roman"/>
          <w:lang w:val="en-GB"/>
        </w:rPr>
        <w:t>, para 56.</w:t>
      </w:r>
    </w:p>
  </w:footnote>
  <w:footnote w:id="11">
    <w:p w14:paraId="4C303245" w14:textId="1C82A6F9" w:rsidR="00996B83" w:rsidRPr="001D69D0" w:rsidRDefault="00996B83">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w:t>
      </w:r>
      <w:r w:rsidRPr="001D69D0">
        <w:rPr>
          <w:rFonts w:ascii="Times New Roman" w:hAnsi="Times New Roman" w:cs="Times New Roman"/>
          <w:i/>
          <w:lang w:val="en-GB"/>
        </w:rPr>
        <w:t>Ibid.</w:t>
      </w:r>
    </w:p>
  </w:footnote>
  <w:footnote w:id="12">
    <w:p w14:paraId="32E20F1A" w14:textId="25CF6C06" w:rsidR="00996B83" w:rsidRPr="001D69D0" w:rsidRDefault="00996B83">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w:t>
      </w:r>
      <w:r w:rsidRPr="001D69D0">
        <w:rPr>
          <w:rFonts w:ascii="Times New Roman" w:hAnsi="Times New Roman" w:cs="Times New Roman"/>
          <w:i/>
          <w:lang w:val="en-GB"/>
        </w:rPr>
        <w:t>Ibid</w:t>
      </w:r>
      <w:r w:rsidRPr="001D69D0">
        <w:rPr>
          <w:rFonts w:ascii="Times New Roman" w:hAnsi="Times New Roman" w:cs="Times New Roman"/>
          <w:lang w:val="en-GB"/>
        </w:rPr>
        <w:t>.</w:t>
      </w:r>
    </w:p>
  </w:footnote>
  <w:footnote w:id="13">
    <w:p w14:paraId="6517A8CF" w14:textId="483EE894" w:rsidR="003A1658" w:rsidRPr="001D69D0" w:rsidRDefault="003A1658">
      <w:pPr>
        <w:pStyle w:val="FootnoteText"/>
        <w:rPr>
          <w:rFonts w:ascii="Times New Roman" w:hAnsi="Times New Roman" w:cs="Times New Roman"/>
          <w:i/>
          <w:lang w:val="en-CA"/>
        </w:rPr>
      </w:pPr>
      <w:r w:rsidRPr="001D69D0">
        <w:rPr>
          <w:rStyle w:val="FootnoteReference"/>
          <w:rFonts w:ascii="Times New Roman" w:hAnsi="Times New Roman" w:cs="Times New Roman"/>
        </w:rPr>
        <w:footnoteRef/>
      </w:r>
      <w:r w:rsidRPr="001D69D0">
        <w:rPr>
          <w:rFonts w:ascii="Times New Roman" w:hAnsi="Times New Roman" w:cs="Times New Roman"/>
        </w:rPr>
        <w:t xml:space="preserve"> </w:t>
      </w:r>
      <w:r w:rsidRPr="001D69D0">
        <w:rPr>
          <w:rFonts w:ascii="Times New Roman" w:hAnsi="Times New Roman" w:cs="Times New Roman"/>
          <w:i/>
          <w:lang w:val="en-CA"/>
        </w:rPr>
        <w:t>Ibid.</w:t>
      </w:r>
    </w:p>
  </w:footnote>
  <w:footnote w:id="14">
    <w:p w14:paraId="45F0884B" w14:textId="1D038112" w:rsidR="00996B83" w:rsidRPr="001D69D0" w:rsidRDefault="00996B83">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Rhonda </w:t>
      </w:r>
      <w:proofErr w:type="spellStart"/>
      <w:r w:rsidRPr="001D69D0">
        <w:rPr>
          <w:rFonts w:ascii="Times New Roman" w:hAnsi="Times New Roman" w:cs="Times New Roman"/>
          <w:lang w:val="en-GB"/>
        </w:rPr>
        <w:t>Copelon</w:t>
      </w:r>
      <w:proofErr w:type="spellEnd"/>
      <w:r w:rsidRPr="001D69D0">
        <w:rPr>
          <w:rFonts w:ascii="Times New Roman" w:hAnsi="Times New Roman" w:cs="Times New Roman"/>
          <w:lang w:val="en-GB"/>
        </w:rPr>
        <w:t xml:space="preserve">, “Gender Violence as Torture: The Contribution of CAT General Comment No 2” (2008) 11 NY City L Rev 229 at 254 [“Gender Violence as Torture, 2008”]. </w:t>
      </w:r>
    </w:p>
  </w:footnote>
  <w:footnote w:id="15">
    <w:p w14:paraId="27613CDD" w14:textId="4FD27A5F" w:rsidR="00996B83" w:rsidRPr="001D69D0" w:rsidRDefault="00996B83">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w:t>
      </w:r>
      <w:proofErr w:type="gramStart"/>
      <w:r w:rsidRPr="001D69D0">
        <w:rPr>
          <w:rFonts w:ascii="Times New Roman" w:hAnsi="Times New Roman" w:cs="Times New Roman"/>
          <w:lang w:val="en-GB"/>
        </w:rPr>
        <w:t>Canada’s Submission,</w:t>
      </w:r>
      <w:proofErr w:type="gramEnd"/>
      <w:r w:rsidRPr="001D69D0">
        <w:rPr>
          <w:rFonts w:ascii="Times New Roman" w:hAnsi="Times New Roman" w:cs="Times New Roman"/>
          <w:lang w:val="en-GB"/>
        </w:rPr>
        <w:t xml:space="preserve"> </w:t>
      </w:r>
      <w:r w:rsidRPr="001D69D0">
        <w:rPr>
          <w:rFonts w:ascii="Times New Roman" w:hAnsi="Times New Roman" w:cs="Times New Roman"/>
          <w:i/>
          <w:lang w:val="en-GB"/>
        </w:rPr>
        <w:t>supra</w:t>
      </w:r>
      <w:r w:rsidRPr="001D69D0">
        <w:rPr>
          <w:rFonts w:ascii="Times New Roman" w:hAnsi="Times New Roman" w:cs="Times New Roman"/>
          <w:lang w:val="en-GB"/>
        </w:rPr>
        <w:t xml:space="preserve"> note </w:t>
      </w:r>
      <w:r w:rsidRPr="001D69D0">
        <w:rPr>
          <w:rFonts w:ascii="Times New Roman" w:hAnsi="Times New Roman" w:cs="Times New Roman"/>
          <w:lang w:val="en-GB"/>
        </w:rPr>
        <w:fldChar w:fldCharType="begin"/>
      </w:r>
      <w:r w:rsidRPr="001D69D0">
        <w:rPr>
          <w:rFonts w:ascii="Times New Roman" w:hAnsi="Times New Roman" w:cs="Times New Roman"/>
          <w:lang w:val="en-CA"/>
        </w:rPr>
        <w:instrText xml:space="preserve"> NOTEREF _Ref529858140 \h  \* MERGEFORMAT </w:instrText>
      </w:r>
      <w:r w:rsidRPr="001D69D0">
        <w:rPr>
          <w:rFonts w:ascii="Times New Roman" w:hAnsi="Times New Roman" w:cs="Times New Roman"/>
          <w:lang w:val="en-GB"/>
        </w:rPr>
      </w:r>
      <w:r w:rsidRPr="001D69D0">
        <w:rPr>
          <w:rFonts w:ascii="Times New Roman" w:hAnsi="Times New Roman" w:cs="Times New Roman"/>
          <w:lang w:val="en-GB"/>
        </w:rPr>
        <w:fldChar w:fldCharType="separate"/>
      </w:r>
      <w:r w:rsidR="002C477A" w:rsidRPr="001D69D0">
        <w:rPr>
          <w:rFonts w:ascii="Times New Roman" w:hAnsi="Times New Roman" w:cs="Times New Roman"/>
          <w:lang w:val="en-GB"/>
        </w:rPr>
        <w:t>2</w:t>
      </w:r>
      <w:r w:rsidRPr="001D69D0">
        <w:rPr>
          <w:rFonts w:ascii="Times New Roman" w:hAnsi="Times New Roman" w:cs="Times New Roman"/>
          <w:lang w:val="en-GB"/>
        </w:rPr>
        <w:fldChar w:fldCharType="end"/>
      </w:r>
      <w:r w:rsidRPr="001D69D0">
        <w:rPr>
          <w:rFonts w:ascii="Times New Roman" w:hAnsi="Times New Roman" w:cs="Times New Roman"/>
          <w:lang w:val="en-GB"/>
        </w:rPr>
        <w:t xml:space="preserve">, para 56. </w:t>
      </w:r>
    </w:p>
  </w:footnote>
  <w:footnote w:id="16">
    <w:p w14:paraId="76F966DA" w14:textId="58AD7FE1" w:rsidR="00996B83" w:rsidRPr="001D69D0" w:rsidRDefault="00996B83" w:rsidP="00A51D0B">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Committee against Torture, </w:t>
      </w:r>
      <w:proofErr w:type="spellStart"/>
      <w:r w:rsidRPr="001D69D0">
        <w:rPr>
          <w:rFonts w:ascii="Times New Roman" w:hAnsi="Times New Roman" w:cs="Times New Roman"/>
          <w:i/>
          <w:lang w:val="en-GB"/>
        </w:rPr>
        <w:t>Hajrizi</w:t>
      </w:r>
      <w:proofErr w:type="spellEnd"/>
      <w:r w:rsidRPr="001D69D0">
        <w:rPr>
          <w:rFonts w:ascii="Times New Roman" w:hAnsi="Times New Roman" w:cs="Times New Roman"/>
          <w:i/>
          <w:lang w:val="en-GB"/>
        </w:rPr>
        <w:t xml:space="preserve"> </w:t>
      </w:r>
      <w:proofErr w:type="spellStart"/>
      <w:r w:rsidRPr="001D69D0">
        <w:rPr>
          <w:rFonts w:ascii="Times New Roman" w:hAnsi="Times New Roman" w:cs="Times New Roman"/>
          <w:i/>
          <w:lang w:val="en-GB"/>
        </w:rPr>
        <w:t>Dzemajl</w:t>
      </w:r>
      <w:proofErr w:type="spellEnd"/>
      <w:r w:rsidRPr="001D69D0">
        <w:rPr>
          <w:rFonts w:ascii="Times New Roman" w:hAnsi="Times New Roman" w:cs="Times New Roman"/>
          <w:i/>
          <w:lang w:val="en-GB"/>
        </w:rPr>
        <w:t xml:space="preserve"> et al. v Yugoslavia</w:t>
      </w:r>
      <w:r w:rsidRPr="001D69D0">
        <w:rPr>
          <w:rFonts w:ascii="Times New Roman" w:hAnsi="Times New Roman" w:cs="Times New Roman"/>
          <w:lang w:val="en-GB"/>
        </w:rPr>
        <w:t xml:space="preserve">, UN Doc CAT/C/29/D/161/2000 (2 December 2002), para </w:t>
      </w:r>
      <w:r w:rsidRPr="001D69D0">
        <w:rPr>
          <w:rFonts w:ascii="Times New Roman" w:hAnsi="Times New Roman" w:cs="Times New Roman"/>
          <w:lang w:val="es-ES"/>
        </w:rPr>
        <w:t xml:space="preserve">3.7, online: </w:t>
      </w:r>
      <w:hyperlink r:id="rId4" w:history="1">
        <w:r w:rsidRPr="001D69D0">
          <w:rPr>
            <w:rStyle w:val="Hyperlink"/>
            <w:rFonts w:ascii="Times New Roman" w:hAnsi="Times New Roman" w:cs="Times New Roman"/>
            <w:lang w:val="en-GB"/>
          </w:rPr>
          <w:t>http://undocs.org/CAT/C/29/D/161/2000</w:t>
        </w:r>
      </w:hyperlink>
      <w:r w:rsidRPr="001D69D0">
        <w:rPr>
          <w:rFonts w:ascii="Times New Roman" w:hAnsi="Times New Roman" w:cs="Times New Roman"/>
          <w:lang w:val="en-GB"/>
        </w:rPr>
        <w:t xml:space="preserve">. </w:t>
      </w:r>
    </w:p>
  </w:footnote>
  <w:footnote w:id="17">
    <w:p w14:paraId="0F3F444C" w14:textId="32D3E18A" w:rsidR="00996B83" w:rsidRPr="001D69D0" w:rsidRDefault="00996B83" w:rsidP="00A51D0B">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w:t>
      </w:r>
      <w:r w:rsidRPr="001D69D0">
        <w:rPr>
          <w:rFonts w:ascii="Times New Roman" w:hAnsi="Times New Roman" w:cs="Times New Roman"/>
          <w:i/>
          <w:iCs/>
          <w:lang w:val="en-GB"/>
        </w:rPr>
        <w:t>Ibid</w:t>
      </w:r>
      <w:r w:rsidRPr="001D69D0">
        <w:rPr>
          <w:rFonts w:ascii="Times New Roman" w:hAnsi="Times New Roman" w:cs="Times New Roman"/>
          <w:lang w:val="en-GB"/>
        </w:rPr>
        <w:t>, para 9.2.</w:t>
      </w:r>
    </w:p>
  </w:footnote>
  <w:footnote w:id="18">
    <w:p w14:paraId="0B909914" w14:textId="1FC10989" w:rsidR="00996B83" w:rsidRPr="001D69D0" w:rsidRDefault="00996B83" w:rsidP="009A2C6E">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General Comment No 2, </w:t>
      </w:r>
      <w:r w:rsidRPr="001D69D0">
        <w:rPr>
          <w:rFonts w:ascii="Times New Roman" w:hAnsi="Times New Roman" w:cs="Times New Roman"/>
          <w:i/>
          <w:lang w:val="en-GB"/>
        </w:rPr>
        <w:t>supra</w:t>
      </w:r>
      <w:r w:rsidRPr="001D69D0">
        <w:rPr>
          <w:rFonts w:ascii="Times New Roman" w:hAnsi="Times New Roman" w:cs="Times New Roman"/>
          <w:lang w:val="en-GB"/>
        </w:rPr>
        <w:t xml:space="preserve"> note </w:t>
      </w:r>
      <w:r w:rsidRPr="001D69D0">
        <w:rPr>
          <w:rFonts w:ascii="Times New Roman" w:hAnsi="Times New Roman" w:cs="Times New Roman"/>
          <w:lang w:val="en-GB"/>
        </w:rPr>
        <w:fldChar w:fldCharType="begin"/>
      </w:r>
      <w:r w:rsidRPr="001D69D0">
        <w:rPr>
          <w:rFonts w:ascii="Times New Roman" w:hAnsi="Times New Roman" w:cs="Times New Roman"/>
        </w:rPr>
        <w:instrText xml:space="preserve"> NOTEREF _Ref530055498 \h  \* MERGEFORMAT </w:instrText>
      </w:r>
      <w:r w:rsidRPr="001D69D0">
        <w:rPr>
          <w:rFonts w:ascii="Times New Roman" w:hAnsi="Times New Roman" w:cs="Times New Roman"/>
          <w:lang w:val="en-GB"/>
        </w:rPr>
      </w:r>
      <w:r w:rsidRPr="001D69D0">
        <w:rPr>
          <w:rFonts w:ascii="Times New Roman" w:hAnsi="Times New Roman" w:cs="Times New Roman"/>
          <w:lang w:val="en-GB"/>
        </w:rPr>
        <w:fldChar w:fldCharType="separate"/>
      </w:r>
      <w:r w:rsidR="002C477A" w:rsidRPr="001D69D0">
        <w:rPr>
          <w:rFonts w:ascii="Times New Roman" w:hAnsi="Times New Roman" w:cs="Times New Roman"/>
          <w:lang w:val="en-GB"/>
        </w:rPr>
        <w:t>4</w:t>
      </w:r>
      <w:r w:rsidRPr="001D69D0">
        <w:rPr>
          <w:rFonts w:ascii="Times New Roman" w:hAnsi="Times New Roman" w:cs="Times New Roman"/>
          <w:lang w:val="en-GB"/>
        </w:rPr>
        <w:fldChar w:fldCharType="end"/>
      </w:r>
      <w:r w:rsidRPr="001D69D0">
        <w:rPr>
          <w:rFonts w:ascii="Times New Roman" w:hAnsi="Times New Roman" w:cs="Times New Roman"/>
          <w:lang w:val="en-GB"/>
        </w:rPr>
        <w:t xml:space="preserve">, para 18. See also Committee against Torture, </w:t>
      </w:r>
      <w:r w:rsidRPr="001D69D0">
        <w:rPr>
          <w:rFonts w:ascii="Times New Roman" w:hAnsi="Times New Roman" w:cs="Times New Roman"/>
          <w:i/>
          <w:lang w:val="en-GB"/>
        </w:rPr>
        <w:t>Concluding observations on Greece</w:t>
      </w:r>
      <w:r w:rsidRPr="001D69D0">
        <w:rPr>
          <w:rFonts w:ascii="Times New Roman" w:hAnsi="Times New Roman" w:cs="Times New Roman"/>
          <w:lang w:val="en-GB"/>
        </w:rPr>
        <w:t xml:space="preserve">, UN Doc CAT/C/CR/33/2 (2004), para 4 and 5, online: </w:t>
      </w:r>
      <w:hyperlink r:id="rId5" w:history="1">
        <w:r w:rsidRPr="001D69D0">
          <w:rPr>
            <w:rStyle w:val="Hyperlink"/>
            <w:rFonts w:ascii="Times New Roman" w:hAnsi="Times New Roman" w:cs="Times New Roman"/>
            <w:lang w:val="en-GB"/>
          </w:rPr>
          <w:t>http://undocs.org/CAT/C/CR/33/2</w:t>
        </w:r>
      </w:hyperlink>
      <w:r w:rsidRPr="001D69D0">
        <w:rPr>
          <w:rFonts w:ascii="Times New Roman" w:hAnsi="Times New Roman" w:cs="Times New Roman"/>
          <w:lang w:val="en-GB"/>
        </w:rPr>
        <w:t xml:space="preserve">; Committee against Torture, </w:t>
      </w:r>
      <w:r w:rsidRPr="001D69D0">
        <w:rPr>
          <w:rFonts w:ascii="Times New Roman" w:hAnsi="Times New Roman" w:cs="Times New Roman"/>
          <w:i/>
          <w:lang w:val="en-GB"/>
        </w:rPr>
        <w:t>Concluding observations on Ecuador</w:t>
      </w:r>
      <w:r w:rsidRPr="001D69D0">
        <w:rPr>
          <w:rFonts w:ascii="Times New Roman" w:hAnsi="Times New Roman" w:cs="Times New Roman"/>
          <w:lang w:val="en-GB"/>
        </w:rPr>
        <w:t xml:space="preserve">, UN Doc CAT/C/ECU/CO/3 (2006), para 17, online: </w:t>
      </w:r>
      <w:hyperlink r:id="rId6" w:history="1">
        <w:r w:rsidRPr="001D69D0">
          <w:rPr>
            <w:rStyle w:val="Hyperlink"/>
            <w:rFonts w:ascii="Times New Roman" w:hAnsi="Times New Roman" w:cs="Times New Roman"/>
            <w:lang w:val="en-GB"/>
          </w:rPr>
          <w:t>http://undocs.org/CAT/C/ECU/CO/3</w:t>
        </w:r>
      </w:hyperlink>
      <w:r w:rsidRPr="001D69D0">
        <w:rPr>
          <w:rFonts w:ascii="Times New Roman" w:hAnsi="Times New Roman" w:cs="Times New Roman"/>
          <w:lang w:val="en-GB"/>
        </w:rPr>
        <w:t xml:space="preserve">; </w:t>
      </w:r>
      <w:r w:rsidRPr="001D69D0">
        <w:rPr>
          <w:rFonts w:ascii="Times New Roman" w:hAnsi="Times New Roman" w:cs="Times New Roman"/>
          <w:i/>
          <w:lang w:val="en-GB"/>
        </w:rPr>
        <w:t>Concluding observations on Bahrain</w:t>
      </w:r>
      <w:r w:rsidRPr="001D69D0">
        <w:rPr>
          <w:rFonts w:ascii="Times New Roman" w:hAnsi="Times New Roman" w:cs="Times New Roman"/>
          <w:lang w:val="en-GB"/>
        </w:rPr>
        <w:t xml:space="preserve">, UN Doc CAT/C/CR/34/BHR (2005), para 6 and 7, online: </w:t>
      </w:r>
      <w:hyperlink r:id="rId7" w:history="1">
        <w:r w:rsidRPr="001D69D0">
          <w:rPr>
            <w:rStyle w:val="Hyperlink"/>
            <w:rFonts w:ascii="Times New Roman" w:hAnsi="Times New Roman" w:cs="Times New Roman"/>
            <w:lang w:val="en-GB"/>
          </w:rPr>
          <w:t>http://undocs.org/CAT/C/CR/34/BHR</w:t>
        </w:r>
      </w:hyperlink>
      <w:r w:rsidRPr="001D69D0">
        <w:rPr>
          <w:rFonts w:ascii="Times New Roman" w:hAnsi="Times New Roman" w:cs="Times New Roman"/>
          <w:lang w:val="en-GB"/>
        </w:rPr>
        <w:t xml:space="preserve">; and </w:t>
      </w:r>
      <w:r w:rsidRPr="001D69D0">
        <w:rPr>
          <w:rFonts w:ascii="Times New Roman" w:hAnsi="Times New Roman" w:cs="Times New Roman"/>
          <w:i/>
          <w:lang w:val="en-GB"/>
        </w:rPr>
        <w:t>Concluding Observations on Canada</w:t>
      </w:r>
      <w:r w:rsidRPr="001D69D0">
        <w:rPr>
          <w:rFonts w:ascii="Times New Roman" w:hAnsi="Times New Roman" w:cs="Times New Roman"/>
          <w:lang w:val="en-GB"/>
        </w:rPr>
        <w:t xml:space="preserve">, UN Doc CAT/C/CAN/CO/6 (2012), para 20, online: </w:t>
      </w:r>
      <w:hyperlink r:id="rId8" w:history="1">
        <w:r w:rsidRPr="001D69D0">
          <w:rPr>
            <w:rStyle w:val="Hyperlink"/>
            <w:rFonts w:ascii="Times New Roman" w:hAnsi="Times New Roman" w:cs="Times New Roman"/>
            <w:lang w:val="en-GB"/>
          </w:rPr>
          <w:t>http://undocs.org/CAT/C/CAN/CO/6</w:t>
        </w:r>
      </w:hyperlink>
      <w:r w:rsidRPr="001D69D0">
        <w:rPr>
          <w:rFonts w:ascii="Times New Roman" w:hAnsi="Times New Roman" w:cs="Times New Roman"/>
          <w:lang w:val="en-GB"/>
        </w:rPr>
        <w:t xml:space="preserve">. </w:t>
      </w:r>
    </w:p>
  </w:footnote>
  <w:footnote w:id="19">
    <w:p w14:paraId="2D465972" w14:textId="4B979CA5" w:rsidR="00996B83" w:rsidRPr="001D69D0" w:rsidRDefault="00996B83" w:rsidP="00606123">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Special Rapporteur on Violence Against Women, its Causes and Consequences (Yakin </w:t>
      </w:r>
      <w:proofErr w:type="spellStart"/>
      <w:r w:rsidRPr="001D69D0">
        <w:rPr>
          <w:rFonts w:ascii="Times New Roman" w:hAnsi="Times New Roman" w:cs="Times New Roman"/>
          <w:lang w:val="en-GB"/>
        </w:rPr>
        <w:t>Ertürk</w:t>
      </w:r>
      <w:proofErr w:type="spellEnd"/>
      <w:r w:rsidRPr="001D69D0">
        <w:rPr>
          <w:rFonts w:ascii="Times New Roman" w:hAnsi="Times New Roman" w:cs="Times New Roman"/>
          <w:lang w:val="en-GB"/>
        </w:rPr>
        <w:t xml:space="preserve">), </w:t>
      </w:r>
      <w:r w:rsidRPr="001D69D0">
        <w:rPr>
          <w:rFonts w:ascii="Times New Roman" w:hAnsi="Times New Roman" w:cs="Times New Roman"/>
          <w:i/>
          <w:lang w:val="en-GB"/>
        </w:rPr>
        <w:t>Report of the Special Rapporteur: The Due Diligence Standard as a Tool for the Elimination of Violence Against Women</w:t>
      </w:r>
      <w:r w:rsidRPr="001D69D0">
        <w:rPr>
          <w:rFonts w:ascii="Times New Roman" w:hAnsi="Times New Roman" w:cs="Times New Roman"/>
          <w:lang w:val="en-GB"/>
        </w:rPr>
        <w:t xml:space="preserve">, UN Doc E/CN.4/2006/61 (20 January 2006) paras 19-29, online: </w:t>
      </w:r>
      <w:hyperlink r:id="rId9" w:history="1">
        <w:r w:rsidRPr="001D69D0">
          <w:rPr>
            <w:rStyle w:val="Hyperlink"/>
            <w:rFonts w:ascii="Times New Roman" w:hAnsi="Times New Roman" w:cs="Times New Roman"/>
            <w:lang w:val="en-GB"/>
          </w:rPr>
          <w:t>http://undocs.org/E/CN.4/2006/61</w:t>
        </w:r>
      </w:hyperlink>
      <w:r w:rsidRPr="001D69D0">
        <w:rPr>
          <w:rFonts w:ascii="Times New Roman" w:hAnsi="Times New Roman" w:cs="Times New Roman"/>
          <w:lang w:val="en-GB"/>
        </w:rPr>
        <w:t xml:space="preserve"> [“Special Rapporteur Report (</w:t>
      </w:r>
      <w:proofErr w:type="spellStart"/>
      <w:r w:rsidRPr="001D69D0">
        <w:rPr>
          <w:rFonts w:ascii="Times New Roman" w:hAnsi="Times New Roman" w:cs="Times New Roman"/>
          <w:lang w:val="en-GB"/>
        </w:rPr>
        <w:t>Ertürk</w:t>
      </w:r>
      <w:proofErr w:type="spellEnd"/>
      <w:r w:rsidRPr="001D69D0">
        <w:rPr>
          <w:rFonts w:ascii="Times New Roman" w:hAnsi="Times New Roman" w:cs="Times New Roman"/>
          <w:lang w:val="en-GB"/>
        </w:rPr>
        <w:t>), 2006”]..</w:t>
      </w:r>
    </w:p>
  </w:footnote>
  <w:footnote w:id="20">
    <w:p w14:paraId="7EE2430D" w14:textId="1261318C" w:rsidR="00996B83" w:rsidRPr="001D69D0" w:rsidRDefault="00996B83" w:rsidP="00721A94">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UN General Assembly, </w:t>
      </w:r>
      <w:r w:rsidRPr="001D69D0">
        <w:rPr>
          <w:rFonts w:ascii="Times New Roman" w:hAnsi="Times New Roman" w:cs="Times New Roman"/>
          <w:i/>
          <w:lang w:val="en-GB"/>
        </w:rPr>
        <w:t>Declaration on the Elimination of Violence Against Women</w:t>
      </w:r>
      <w:r w:rsidRPr="001D69D0">
        <w:rPr>
          <w:rFonts w:ascii="Times New Roman" w:hAnsi="Times New Roman" w:cs="Times New Roman"/>
          <w:lang w:val="en-GB"/>
        </w:rPr>
        <w:t xml:space="preserve">, 20 December 1993, UN Doc A/Res/48/104, article 4(c), online: </w:t>
      </w:r>
      <w:hyperlink r:id="rId10" w:history="1">
        <w:r w:rsidRPr="001D69D0">
          <w:rPr>
            <w:rStyle w:val="Hyperlink"/>
            <w:rFonts w:ascii="Times New Roman" w:hAnsi="Times New Roman" w:cs="Times New Roman"/>
            <w:lang w:val="en-GB"/>
          </w:rPr>
          <w:t>http://www.un.org/documents/ga/res/48/a48r104.htm</w:t>
        </w:r>
      </w:hyperlink>
      <w:r w:rsidRPr="001D69D0">
        <w:rPr>
          <w:rFonts w:ascii="Times New Roman" w:hAnsi="Times New Roman" w:cs="Times New Roman"/>
          <w:lang w:val="en-GB"/>
        </w:rPr>
        <w:t xml:space="preserve">. </w:t>
      </w:r>
    </w:p>
  </w:footnote>
  <w:footnote w:id="21">
    <w:p w14:paraId="4933455B" w14:textId="35B685E7" w:rsidR="00996B83" w:rsidRPr="001D69D0" w:rsidRDefault="00996B83" w:rsidP="004A7C93">
      <w:pPr>
        <w:pStyle w:val="FootnoteText"/>
        <w:ind w:right="360"/>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Committee on the Elimination of Discrimination Against Women, </w:t>
      </w:r>
      <w:r w:rsidRPr="001D69D0">
        <w:rPr>
          <w:rFonts w:ascii="Times New Roman" w:hAnsi="Times New Roman" w:cs="Times New Roman"/>
          <w:i/>
          <w:lang w:val="en-GB"/>
        </w:rPr>
        <w:t>General recommendation No. 35 on gender-based violence against women, updating general recommendation No. 19</w:t>
      </w:r>
      <w:r w:rsidRPr="001D69D0">
        <w:rPr>
          <w:rFonts w:ascii="Times New Roman" w:hAnsi="Times New Roman" w:cs="Times New Roman"/>
          <w:lang w:val="en-GB"/>
        </w:rPr>
        <w:t xml:space="preserve">, UN Doc CEDAW/C/GC/35 (14 July 2017), para 24(b), online: </w:t>
      </w:r>
      <w:hyperlink r:id="rId11" w:history="1">
        <w:r w:rsidRPr="001D69D0">
          <w:rPr>
            <w:rStyle w:val="Hyperlink"/>
            <w:rFonts w:ascii="Times New Roman" w:hAnsi="Times New Roman" w:cs="Times New Roman"/>
            <w:lang w:val="en-GB"/>
          </w:rPr>
          <w:t>https://undocs.org/CEDAW/C/GC/35</w:t>
        </w:r>
      </w:hyperlink>
      <w:r w:rsidRPr="001D69D0">
        <w:rPr>
          <w:rFonts w:ascii="Times New Roman" w:hAnsi="Times New Roman" w:cs="Times New Roman"/>
          <w:lang w:val="en-GB"/>
        </w:rPr>
        <w:t xml:space="preserve">. </w:t>
      </w:r>
    </w:p>
  </w:footnote>
  <w:footnote w:id="22">
    <w:p w14:paraId="4EF882CF" w14:textId="2B1C33FB" w:rsidR="00996B83" w:rsidRPr="001D69D0" w:rsidRDefault="00996B83" w:rsidP="00721A94">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w:t>
      </w:r>
      <w:proofErr w:type="spellStart"/>
      <w:r w:rsidRPr="001D69D0">
        <w:rPr>
          <w:rFonts w:ascii="Times New Roman" w:hAnsi="Times New Roman" w:cs="Times New Roman"/>
          <w:lang w:val="en-GB"/>
        </w:rPr>
        <w:t>Dr.</w:t>
      </w:r>
      <w:proofErr w:type="spellEnd"/>
      <w:r w:rsidRPr="001D69D0">
        <w:rPr>
          <w:rFonts w:ascii="Times New Roman" w:hAnsi="Times New Roman" w:cs="Times New Roman"/>
          <w:lang w:val="en-GB"/>
        </w:rPr>
        <w:t xml:space="preserve"> Melina Buckley, </w:t>
      </w:r>
      <w:r w:rsidRPr="001D69D0">
        <w:rPr>
          <w:rFonts w:ascii="Times New Roman" w:hAnsi="Times New Roman" w:cs="Times New Roman"/>
          <w:i/>
          <w:lang w:val="en-GB"/>
        </w:rPr>
        <w:t>Violence Against Women: Evolving Canadian and International Legal Standards on Police Duties to Protect and Investigate – A Research Report Prepared for the Missing Women Commission of Inquiry</w:t>
      </w:r>
      <w:r w:rsidRPr="001D69D0">
        <w:rPr>
          <w:rFonts w:ascii="Times New Roman" w:hAnsi="Times New Roman" w:cs="Times New Roman"/>
          <w:lang w:val="en-GB"/>
        </w:rPr>
        <w:t xml:space="preserve">, Missing Women Commission of Inquiry, June 2012, page 71, online: </w:t>
      </w:r>
      <w:hyperlink r:id="rId12" w:history="1">
        <w:r w:rsidRPr="001D69D0">
          <w:rPr>
            <w:rStyle w:val="Hyperlink"/>
            <w:rFonts w:ascii="Times New Roman" w:hAnsi="Times New Roman" w:cs="Times New Roman"/>
            <w:lang w:val="en-GB"/>
          </w:rPr>
          <w:t>http://www.missingwomeninquiry.ca/wp-content/uploads/2010/10/RESE-5-June-2012-MB-Violence-Against-Women-Evolving-Legal-Standards-on-Police-Duties-to-Protect-Investigate.pdf</w:t>
        </w:r>
      </w:hyperlink>
      <w:r w:rsidRPr="001D69D0">
        <w:rPr>
          <w:rFonts w:ascii="Times New Roman" w:hAnsi="Times New Roman" w:cs="Times New Roman"/>
          <w:lang w:val="en-GB"/>
        </w:rPr>
        <w:t xml:space="preserve">. For commentary on State responsibility to consider intersectionality, see Committee on the Elimination of Discrimination Against Women, </w:t>
      </w:r>
      <w:r w:rsidRPr="001D69D0">
        <w:rPr>
          <w:rFonts w:ascii="Times New Roman" w:hAnsi="Times New Roman" w:cs="Times New Roman"/>
          <w:i/>
          <w:lang w:val="en-GB"/>
        </w:rPr>
        <w:t>General Recommendation No. 28 on the Core Obligations of States Parties under Article 2 of the Convention on the Elimination of all forms of Discrimination against Women</w:t>
      </w:r>
      <w:r w:rsidRPr="001D69D0">
        <w:rPr>
          <w:rFonts w:ascii="Times New Roman" w:hAnsi="Times New Roman" w:cs="Times New Roman"/>
          <w:lang w:val="en-GB"/>
        </w:rPr>
        <w:t xml:space="preserve">, UN Doc CEDAW/C/GC/28 (16 December 2010), paras 18 and 26, online: </w:t>
      </w:r>
      <w:hyperlink r:id="rId13" w:history="1">
        <w:r w:rsidRPr="001D69D0">
          <w:rPr>
            <w:rStyle w:val="Hyperlink"/>
            <w:rFonts w:ascii="Times New Roman" w:hAnsi="Times New Roman" w:cs="Times New Roman"/>
            <w:lang w:val="en-GB"/>
          </w:rPr>
          <w:t>https://undocs.org/CEDAW/C/GC/28</w:t>
        </w:r>
      </w:hyperlink>
      <w:r w:rsidRPr="001D69D0">
        <w:rPr>
          <w:rFonts w:ascii="Times New Roman" w:hAnsi="Times New Roman" w:cs="Times New Roman"/>
          <w:lang w:val="en-GB"/>
        </w:rPr>
        <w:t xml:space="preserve">.   </w:t>
      </w:r>
    </w:p>
  </w:footnote>
  <w:footnote w:id="23">
    <w:p w14:paraId="4F55993B" w14:textId="740300DE" w:rsidR="00996B83" w:rsidRPr="001D69D0" w:rsidRDefault="00996B83">
      <w:pPr>
        <w:pStyle w:val="FootnoteText"/>
        <w:rPr>
          <w:rFonts w:ascii="Times New Roman" w:hAnsi="Times New Roman" w:cs="Times New Roman"/>
          <w:lang w:val="en-CA"/>
        </w:rPr>
      </w:pPr>
      <w:r w:rsidRPr="001D69D0">
        <w:rPr>
          <w:rStyle w:val="FootnoteReference"/>
          <w:rFonts w:ascii="Times New Roman" w:hAnsi="Times New Roman" w:cs="Times New Roman"/>
        </w:rPr>
        <w:footnoteRef/>
      </w:r>
      <w:r w:rsidRPr="001D69D0">
        <w:rPr>
          <w:rFonts w:ascii="Times New Roman" w:hAnsi="Times New Roman" w:cs="Times New Roman"/>
          <w:lang w:val="en-CA"/>
        </w:rPr>
        <w:t xml:space="preserve"> For decades, Canada and Christian churches facilitated the systematic assimilation of Indigenous children through forcible indoctrination in non-Indigenous residential schools with a view to preventing these children from learning and practicing their own cultures while undergoing severe abuse. This system contributed to a cultural genocide of Indigenous peoples in Canada with lasting inter-generational trauma. See Indigenous Foundations, “The residential School System,” </w:t>
      </w:r>
      <w:r w:rsidRPr="001D69D0">
        <w:rPr>
          <w:rFonts w:ascii="Times New Roman" w:hAnsi="Times New Roman" w:cs="Times New Roman"/>
          <w:i/>
          <w:lang w:val="en-CA"/>
        </w:rPr>
        <w:t>University of British Columbia</w:t>
      </w:r>
      <w:r w:rsidRPr="001D69D0">
        <w:rPr>
          <w:rFonts w:ascii="Times New Roman" w:hAnsi="Times New Roman" w:cs="Times New Roman"/>
          <w:lang w:val="en-CA"/>
        </w:rPr>
        <w:t xml:space="preserve">, online: </w:t>
      </w:r>
      <w:hyperlink r:id="rId14" w:history="1">
        <w:r w:rsidRPr="001D69D0">
          <w:rPr>
            <w:rStyle w:val="Hyperlink"/>
            <w:rFonts w:ascii="Times New Roman" w:hAnsi="Times New Roman" w:cs="Times New Roman"/>
            <w:lang w:val="en-CA"/>
          </w:rPr>
          <w:t>https://indigenousfoundations.arts.ubc.ca/the_residential_school_system/</w:t>
        </w:r>
      </w:hyperlink>
      <w:r w:rsidRPr="001D69D0">
        <w:rPr>
          <w:rFonts w:ascii="Times New Roman" w:hAnsi="Times New Roman" w:cs="Times New Roman"/>
          <w:lang w:val="en-CA"/>
        </w:rPr>
        <w:t xml:space="preserve">.  </w:t>
      </w:r>
    </w:p>
  </w:footnote>
  <w:footnote w:id="24">
    <w:p w14:paraId="331CE917" w14:textId="324538F0" w:rsidR="00996B83" w:rsidRPr="001D69D0" w:rsidRDefault="00996B83">
      <w:pPr>
        <w:pStyle w:val="FootnoteText"/>
        <w:rPr>
          <w:rFonts w:ascii="Times New Roman" w:hAnsi="Times New Roman" w:cs="Times New Roman"/>
          <w:lang w:val="en-CA"/>
        </w:rPr>
      </w:pPr>
      <w:r w:rsidRPr="001D69D0">
        <w:rPr>
          <w:rStyle w:val="FootnoteReference"/>
          <w:rFonts w:ascii="Times New Roman" w:hAnsi="Times New Roman" w:cs="Times New Roman"/>
        </w:rPr>
        <w:footnoteRef/>
      </w:r>
      <w:r w:rsidRPr="001D69D0">
        <w:rPr>
          <w:rFonts w:ascii="Times New Roman" w:hAnsi="Times New Roman" w:cs="Times New Roman"/>
        </w:rPr>
        <w:t xml:space="preserve"> </w:t>
      </w:r>
      <w:r w:rsidRPr="001D69D0">
        <w:rPr>
          <w:rFonts w:ascii="Times New Roman" w:hAnsi="Times New Roman" w:cs="Times New Roman"/>
          <w:lang w:val="en-CA"/>
        </w:rPr>
        <w:t xml:space="preserve">This term refers to the forcible removal of Indigenous children from their families and communities, sometimes newborn children from the arms of their mothers, particularly in the 1960s. See Indigenous Foundations, “The Sixties Scoop and Aboriginal Child Welfare,” </w:t>
      </w:r>
      <w:r w:rsidRPr="001D69D0">
        <w:rPr>
          <w:rFonts w:ascii="Times New Roman" w:hAnsi="Times New Roman" w:cs="Times New Roman"/>
          <w:i/>
          <w:lang w:val="en-CA"/>
        </w:rPr>
        <w:t>University of British Columbia</w:t>
      </w:r>
      <w:r w:rsidRPr="001D69D0">
        <w:rPr>
          <w:rFonts w:ascii="Times New Roman" w:hAnsi="Times New Roman" w:cs="Times New Roman"/>
          <w:lang w:val="en-CA"/>
        </w:rPr>
        <w:t xml:space="preserve">, online: </w:t>
      </w:r>
      <w:hyperlink r:id="rId15" w:history="1">
        <w:r w:rsidRPr="001D69D0">
          <w:rPr>
            <w:rStyle w:val="Hyperlink"/>
            <w:rFonts w:ascii="Times New Roman" w:hAnsi="Times New Roman" w:cs="Times New Roman"/>
            <w:lang w:val="en-CA"/>
          </w:rPr>
          <w:t>https://indigenousfoundations.arts.ubc.ca/sixties_scoop/</w:t>
        </w:r>
      </w:hyperlink>
      <w:r w:rsidRPr="001D69D0">
        <w:rPr>
          <w:rFonts w:ascii="Times New Roman" w:hAnsi="Times New Roman" w:cs="Times New Roman"/>
          <w:lang w:val="en-CA"/>
        </w:rPr>
        <w:t xml:space="preserve">. </w:t>
      </w:r>
    </w:p>
  </w:footnote>
  <w:footnote w:id="25">
    <w:p w14:paraId="690CFE34" w14:textId="24A6256F" w:rsidR="00996B83" w:rsidRPr="001D69D0" w:rsidRDefault="00996B83" w:rsidP="00940C21">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See Rhonda </w:t>
      </w:r>
      <w:proofErr w:type="spellStart"/>
      <w:r w:rsidRPr="001D69D0">
        <w:rPr>
          <w:rFonts w:ascii="Times New Roman" w:hAnsi="Times New Roman" w:cs="Times New Roman"/>
          <w:lang w:val="en-GB"/>
        </w:rPr>
        <w:t>Capelon</w:t>
      </w:r>
      <w:proofErr w:type="spellEnd"/>
      <w:r w:rsidRPr="001D69D0">
        <w:rPr>
          <w:rFonts w:ascii="Times New Roman" w:hAnsi="Times New Roman" w:cs="Times New Roman"/>
          <w:lang w:val="en-GB"/>
        </w:rPr>
        <w:t xml:space="preserve">, “Recognizing the Egregious in the Everyday: Domestic Violence as Torture” (1993-1994) 25 Colum Hum </w:t>
      </w:r>
      <w:proofErr w:type="spellStart"/>
      <w:r w:rsidRPr="001D69D0">
        <w:rPr>
          <w:rFonts w:ascii="Times New Roman" w:hAnsi="Times New Roman" w:cs="Times New Roman"/>
          <w:lang w:val="en-GB"/>
        </w:rPr>
        <w:t>Rts</w:t>
      </w:r>
      <w:proofErr w:type="spellEnd"/>
      <w:r w:rsidRPr="001D69D0">
        <w:rPr>
          <w:rFonts w:ascii="Times New Roman" w:hAnsi="Times New Roman" w:cs="Times New Roman"/>
          <w:lang w:val="en-GB"/>
        </w:rPr>
        <w:t xml:space="preserve"> L Rev 291; Claire Wright, “Torture at Home: Borrowing from the Torture Convention to Define Domestic Violence” (2013) 24 Hastings Women’s LJ 457. See also Felice </w:t>
      </w:r>
      <w:proofErr w:type="spellStart"/>
      <w:r w:rsidRPr="001D69D0">
        <w:rPr>
          <w:rFonts w:ascii="Times New Roman" w:hAnsi="Times New Roman" w:cs="Times New Roman"/>
          <w:lang w:val="en-GB"/>
        </w:rPr>
        <w:t>Gaer</w:t>
      </w:r>
      <w:proofErr w:type="spellEnd"/>
      <w:r w:rsidRPr="001D69D0">
        <w:rPr>
          <w:rFonts w:ascii="Times New Roman" w:hAnsi="Times New Roman" w:cs="Times New Roman"/>
          <w:lang w:val="en-GB"/>
        </w:rPr>
        <w:t xml:space="preserve">, “Violence against women by private actors: Is there State responsibility under the Convention against Torture?” (12 March 2015), </w:t>
      </w:r>
      <w:r w:rsidRPr="001D69D0">
        <w:rPr>
          <w:rFonts w:ascii="Times New Roman" w:hAnsi="Times New Roman" w:cs="Times New Roman"/>
          <w:i/>
          <w:lang w:val="en-GB"/>
        </w:rPr>
        <w:t>OMCT</w:t>
      </w:r>
      <w:r w:rsidRPr="001D69D0">
        <w:rPr>
          <w:rFonts w:ascii="Times New Roman" w:hAnsi="Times New Roman" w:cs="Times New Roman"/>
          <w:lang w:val="en-GB"/>
        </w:rPr>
        <w:t xml:space="preserve"> (blog), online: </w:t>
      </w:r>
      <w:hyperlink r:id="rId16" w:history="1">
        <w:r w:rsidRPr="001D69D0">
          <w:rPr>
            <w:rStyle w:val="Hyperlink"/>
            <w:rFonts w:ascii="Times New Roman" w:hAnsi="Times New Roman" w:cs="Times New Roman"/>
            <w:lang w:val="en-GB"/>
          </w:rPr>
          <w:t>http://blog.omct.org/violence-women-private-actors-state-responsibility-convention-torture/</w:t>
        </w:r>
      </w:hyperlink>
      <w:r w:rsidRPr="001D69D0">
        <w:rPr>
          <w:rFonts w:ascii="Times New Roman" w:hAnsi="Times New Roman" w:cs="Times New Roman"/>
          <w:lang w:val="en-GB"/>
        </w:rPr>
        <w:t xml:space="preserve">, where she notes that “acts by non-state or private actors are matters of concern if the State fails to exercise due diligence.”  </w:t>
      </w:r>
    </w:p>
  </w:footnote>
  <w:footnote w:id="26">
    <w:p w14:paraId="328107BA" w14:textId="7BE217B6" w:rsidR="00996B83" w:rsidRPr="001D69D0" w:rsidRDefault="00996B83" w:rsidP="00391310">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Brenda L Gunn, “Engaging a Human Rights Based Approach to the Murdered and Missing Indigenous Women and Girls Inquiry” (2017) 2:2 Lakehead LJ 89, at 106, where Professor Gunn addresses Canada’s responsibility for domestic violence under the Torture Convention noting that Canada has had “knowledge,” in the meaning of the Convention, of violence against indigenous women for decades, and has failed to act decisively.</w:t>
      </w:r>
    </w:p>
  </w:footnote>
  <w:footnote w:id="27">
    <w:p w14:paraId="0DD71D8F" w14:textId="74B53CB3" w:rsidR="00996B83" w:rsidRPr="001D69D0" w:rsidRDefault="00996B83" w:rsidP="00922FFC">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Gender Violence as Torture, 2008, </w:t>
      </w:r>
      <w:r w:rsidRPr="001D69D0">
        <w:rPr>
          <w:rFonts w:ascii="Times New Roman" w:hAnsi="Times New Roman" w:cs="Times New Roman"/>
          <w:i/>
          <w:lang w:val="en-GB"/>
        </w:rPr>
        <w:t>supra</w:t>
      </w:r>
      <w:r w:rsidRPr="001D69D0">
        <w:rPr>
          <w:rFonts w:ascii="Times New Roman" w:hAnsi="Times New Roman" w:cs="Times New Roman"/>
          <w:lang w:val="en-GB"/>
        </w:rPr>
        <w:t xml:space="preserve"> note </w:t>
      </w:r>
      <w:r w:rsidRPr="001D69D0">
        <w:rPr>
          <w:rFonts w:ascii="Times New Roman" w:hAnsi="Times New Roman" w:cs="Times New Roman"/>
          <w:lang w:val="en-GB"/>
        </w:rPr>
        <w:fldChar w:fldCharType="begin"/>
      </w:r>
      <w:r w:rsidRPr="001D69D0">
        <w:rPr>
          <w:rFonts w:ascii="Times New Roman" w:hAnsi="Times New Roman" w:cs="Times New Roman"/>
        </w:rPr>
        <w:instrText xml:space="preserve"> NOTEREF _Ref529861374 \h  \* MERGEFORMAT </w:instrText>
      </w:r>
      <w:r w:rsidRPr="001D69D0">
        <w:rPr>
          <w:rFonts w:ascii="Times New Roman" w:hAnsi="Times New Roman" w:cs="Times New Roman"/>
          <w:lang w:val="en-GB"/>
        </w:rPr>
      </w:r>
      <w:r w:rsidRPr="001D69D0">
        <w:rPr>
          <w:rFonts w:ascii="Times New Roman" w:hAnsi="Times New Roman" w:cs="Times New Roman"/>
          <w:lang w:val="en-GB"/>
        </w:rPr>
        <w:fldChar w:fldCharType="separate"/>
      </w:r>
      <w:r w:rsidR="002C477A" w:rsidRPr="001D69D0">
        <w:rPr>
          <w:rFonts w:ascii="Times New Roman" w:hAnsi="Times New Roman" w:cs="Times New Roman"/>
          <w:lang w:val="en-GB"/>
        </w:rPr>
        <w:t>13</w:t>
      </w:r>
      <w:r w:rsidRPr="001D69D0">
        <w:rPr>
          <w:rFonts w:ascii="Times New Roman" w:hAnsi="Times New Roman" w:cs="Times New Roman"/>
          <w:lang w:val="en-GB"/>
        </w:rPr>
        <w:fldChar w:fldCharType="end"/>
      </w:r>
      <w:r w:rsidRPr="001D69D0">
        <w:rPr>
          <w:rFonts w:ascii="Times New Roman" w:hAnsi="Times New Roman" w:cs="Times New Roman"/>
          <w:lang w:val="en-GB"/>
        </w:rPr>
        <w:t xml:space="preserve">, page 241. See also the following selected cases: </w:t>
      </w:r>
      <w:r w:rsidRPr="001D69D0">
        <w:rPr>
          <w:rFonts w:ascii="Times New Roman" w:hAnsi="Times New Roman" w:cs="Times New Roman"/>
          <w:i/>
          <w:lang w:val="en-GB"/>
        </w:rPr>
        <w:t>Maria da Penha v Brazil</w:t>
      </w:r>
      <w:r w:rsidRPr="001D69D0">
        <w:rPr>
          <w:rFonts w:ascii="Times New Roman" w:hAnsi="Times New Roman" w:cs="Times New Roman"/>
          <w:lang w:val="en-GB"/>
        </w:rPr>
        <w:t>, Case 12.051, Report No 54/01, OEA/</w:t>
      </w:r>
      <w:proofErr w:type="spellStart"/>
      <w:r w:rsidRPr="001D69D0">
        <w:rPr>
          <w:rFonts w:ascii="Times New Roman" w:hAnsi="Times New Roman" w:cs="Times New Roman"/>
          <w:lang w:val="en-GB"/>
        </w:rPr>
        <w:t>SerL</w:t>
      </w:r>
      <w:proofErr w:type="spellEnd"/>
      <w:r w:rsidRPr="001D69D0">
        <w:rPr>
          <w:rFonts w:ascii="Times New Roman" w:hAnsi="Times New Roman" w:cs="Times New Roman"/>
          <w:lang w:val="en-GB"/>
        </w:rPr>
        <w:t xml:space="preserve">/V/II.111 Doc 20 rev at 704 (2000), online: </w:t>
      </w:r>
      <w:hyperlink r:id="rId17" w:history="1">
        <w:r w:rsidRPr="001D69D0">
          <w:rPr>
            <w:rStyle w:val="Hyperlink"/>
            <w:rFonts w:ascii="Times New Roman" w:hAnsi="Times New Roman" w:cs="Times New Roman"/>
            <w:lang w:val="en-GB"/>
          </w:rPr>
          <w:t>http://hrlibrary.umn.edu/cases/54-01.html</w:t>
        </w:r>
      </w:hyperlink>
      <w:r w:rsidRPr="001D69D0">
        <w:rPr>
          <w:rFonts w:ascii="Times New Roman" w:hAnsi="Times New Roman" w:cs="Times New Roman"/>
          <w:lang w:val="en-GB"/>
        </w:rPr>
        <w:t xml:space="preserve">, where the Inter-American Commission on human rights found Brazil to have failed to take steps to prevent and investigate a domestic violence complaint under the American Convention of Human Rights, American Declaration on the Rights and Duties of Man and the Declaration of </w:t>
      </w:r>
      <w:proofErr w:type="spellStart"/>
      <w:r w:rsidRPr="001D69D0">
        <w:rPr>
          <w:rFonts w:ascii="Times New Roman" w:hAnsi="Times New Roman" w:cs="Times New Roman"/>
          <w:lang w:val="en-GB"/>
        </w:rPr>
        <w:t>Belém</w:t>
      </w:r>
      <w:proofErr w:type="spellEnd"/>
      <w:r w:rsidRPr="001D69D0">
        <w:rPr>
          <w:rFonts w:ascii="Times New Roman" w:hAnsi="Times New Roman" w:cs="Times New Roman"/>
          <w:lang w:val="en-GB"/>
        </w:rPr>
        <w:t xml:space="preserve"> do Pará; CEDAW, Communication No 2/2003, </w:t>
      </w:r>
      <w:r w:rsidRPr="001D69D0">
        <w:rPr>
          <w:rFonts w:ascii="Times New Roman" w:hAnsi="Times New Roman" w:cs="Times New Roman"/>
          <w:i/>
          <w:lang w:val="en-GB"/>
        </w:rPr>
        <w:t>AT v Hungary</w:t>
      </w:r>
      <w:r w:rsidRPr="001D69D0">
        <w:rPr>
          <w:rFonts w:ascii="Times New Roman" w:hAnsi="Times New Roman" w:cs="Times New Roman"/>
          <w:lang w:val="en-GB"/>
        </w:rPr>
        <w:t>, 26 January 2005, 32</w:t>
      </w:r>
      <w:r w:rsidRPr="001D69D0">
        <w:rPr>
          <w:rFonts w:ascii="Times New Roman" w:hAnsi="Times New Roman" w:cs="Times New Roman"/>
          <w:vertAlign w:val="superscript"/>
          <w:lang w:val="en-GB"/>
        </w:rPr>
        <w:t>nd</w:t>
      </w:r>
      <w:r w:rsidRPr="001D69D0">
        <w:rPr>
          <w:rFonts w:ascii="Times New Roman" w:hAnsi="Times New Roman" w:cs="Times New Roman"/>
          <w:lang w:val="en-GB"/>
        </w:rPr>
        <w:t xml:space="preserve"> </w:t>
      </w:r>
      <w:proofErr w:type="spellStart"/>
      <w:r w:rsidRPr="001D69D0">
        <w:rPr>
          <w:rFonts w:ascii="Times New Roman" w:hAnsi="Times New Roman" w:cs="Times New Roman"/>
          <w:lang w:val="en-GB"/>
        </w:rPr>
        <w:t>Sess</w:t>
      </w:r>
      <w:proofErr w:type="spellEnd"/>
      <w:r w:rsidRPr="001D69D0">
        <w:rPr>
          <w:rFonts w:ascii="Times New Roman" w:hAnsi="Times New Roman" w:cs="Times New Roman"/>
          <w:lang w:val="en-GB"/>
        </w:rPr>
        <w:t xml:space="preserve">, online: </w:t>
      </w:r>
      <w:hyperlink r:id="rId18" w:history="1">
        <w:r w:rsidRPr="001D69D0">
          <w:rPr>
            <w:rStyle w:val="Hyperlink"/>
            <w:rFonts w:ascii="Times New Roman" w:hAnsi="Times New Roman" w:cs="Times New Roman"/>
            <w:lang w:val="en-GB"/>
          </w:rPr>
          <w:t>http://www.un.org/womenwatch/daw/cedaw/protocol/decisions-views/CEDAW%20Decision%20on%20AT%20vs%20Hungary%20English.pdf</w:t>
        </w:r>
      </w:hyperlink>
      <w:r w:rsidRPr="001D69D0">
        <w:rPr>
          <w:rFonts w:ascii="Times New Roman" w:hAnsi="Times New Roman" w:cs="Times New Roman"/>
          <w:lang w:val="en-GB"/>
        </w:rPr>
        <w:t xml:space="preserve">, where the CEDAW Committee ruled that Hungarian authorities failed to protect the complainant who suffered domestic violence. </w:t>
      </w:r>
    </w:p>
  </w:footnote>
  <w:footnote w:id="28">
    <w:p w14:paraId="7785DF31" w14:textId="67E688F9" w:rsidR="00996B83" w:rsidRPr="001D69D0" w:rsidRDefault="00996B83">
      <w:pPr>
        <w:pStyle w:val="FootnoteText"/>
        <w:rPr>
          <w:rFonts w:ascii="Times New Roman" w:hAnsi="Times New Roman" w:cs="Times New Roman"/>
          <w:lang w:val="en-CA"/>
        </w:rPr>
      </w:pPr>
      <w:r w:rsidRPr="001D69D0">
        <w:rPr>
          <w:rStyle w:val="FootnoteReference"/>
          <w:rFonts w:ascii="Times New Roman" w:hAnsi="Times New Roman" w:cs="Times New Roman"/>
        </w:rPr>
        <w:footnoteRef/>
      </w:r>
      <w:r w:rsidRPr="001D69D0">
        <w:rPr>
          <w:rFonts w:ascii="Times New Roman" w:hAnsi="Times New Roman" w:cs="Times New Roman"/>
        </w:rPr>
        <w:t xml:space="preserve"> </w:t>
      </w:r>
      <w:proofErr w:type="spellStart"/>
      <w:r w:rsidRPr="001D69D0">
        <w:rPr>
          <w:rFonts w:ascii="Times New Roman" w:hAnsi="Times New Roman" w:cs="Times New Roman"/>
          <w:i/>
          <w:lang w:val="en-GB"/>
        </w:rPr>
        <w:t>Opuz</w:t>
      </w:r>
      <w:proofErr w:type="spellEnd"/>
      <w:r w:rsidRPr="001D69D0">
        <w:rPr>
          <w:rFonts w:ascii="Times New Roman" w:hAnsi="Times New Roman" w:cs="Times New Roman"/>
          <w:i/>
          <w:lang w:val="en-GB"/>
        </w:rPr>
        <w:t xml:space="preserve"> v Turkey</w:t>
      </w:r>
      <w:r w:rsidRPr="001D69D0">
        <w:rPr>
          <w:rFonts w:ascii="Times New Roman" w:hAnsi="Times New Roman" w:cs="Times New Roman"/>
          <w:lang w:val="en-GB"/>
        </w:rPr>
        <w:t>, (Application no 33401/02), European Court of Human Rights, Judgment 9</w:t>
      </w:r>
      <w:r w:rsidRPr="001D69D0">
        <w:rPr>
          <w:rFonts w:ascii="Times New Roman" w:hAnsi="Times New Roman" w:cs="Times New Roman"/>
          <w:vertAlign w:val="superscript"/>
          <w:lang w:val="en-GB"/>
        </w:rPr>
        <w:t>th</w:t>
      </w:r>
      <w:r w:rsidRPr="001D69D0">
        <w:rPr>
          <w:rFonts w:ascii="Times New Roman" w:hAnsi="Times New Roman" w:cs="Times New Roman"/>
          <w:lang w:val="en-GB"/>
        </w:rPr>
        <w:t xml:space="preserve"> June 2009, online: </w:t>
      </w:r>
      <w:hyperlink r:id="rId19" w:history="1">
        <w:r w:rsidRPr="001D69D0">
          <w:rPr>
            <w:rStyle w:val="Hyperlink"/>
            <w:rFonts w:ascii="Times New Roman" w:hAnsi="Times New Roman" w:cs="Times New Roman"/>
            <w:lang w:val="en-CA"/>
          </w:rPr>
          <w:t>http://www.refworld.org/cases,ECHR,4a2f84392.html</w:t>
        </w:r>
      </w:hyperlink>
      <w:r w:rsidRPr="001D69D0">
        <w:rPr>
          <w:rFonts w:ascii="Times New Roman" w:hAnsi="Times New Roman" w:cs="Times New Roman"/>
          <w:lang w:val="en-CA"/>
        </w:rPr>
        <w:t>.</w:t>
      </w:r>
    </w:p>
  </w:footnote>
  <w:footnote w:id="29">
    <w:p w14:paraId="39E8728B" w14:textId="7631FFA6" w:rsidR="00996B83" w:rsidRPr="001D69D0" w:rsidRDefault="00996B83">
      <w:pPr>
        <w:pStyle w:val="FootnoteText"/>
        <w:rPr>
          <w:rFonts w:ascii="Times New Roman" w:hAnsi="Times New Roman" w:cs="Times New Roman"/>
          <w:lang w:val="en-CA"/>
        </w:rPr>
      </w:pPr>
      <w:r w:rsidRPr="001D69D0">
        <w:rPr>
          <w:rStyle w:val="FootnoteReference"/>
          <w:rFonts w:ascii="Times New Roman" w:hAnsi="Times New Roman" w:cs="Times New Roman"/>
        </w:rPr>
        <w:footnoteRef/>
      </w:r>
      <w:r w:rsidRPr="001D69D0">
        <w:rPr>
          <w:rFonts w:ascii="Times New Roman" w:hAnsi="Times New Roman" w:cs="Times New Roman"/>
        </w:rPr>
        <w:t xml:space="preserve"> </w:t>
      </w:r>
      <w:r w:rsidRPr="001D69D0">
        <w:rPr>
          <w:rFonts w:ascii="Times New Roman" w:hAnsi="Times New Roman" w:cs="Times New Roman"/>
          <w:i/>
        </w:rPr>
        <w:t>Ibid</w:t>
      </w:r>
      <w:r w:rsidRPr="001D69D0">
        <w:rPr>
          <w:rFonts w:ascii="Times New Roman" w:hAnsi="Times New Roman" w:cs="Times New Roman"/>
        </w:rPr>
        <w:t>, para 195.</w:t>
      </w:r>
    </w:p>
  </w:footnote>
  <w:footnote w:id="30">
    <w:p w14:paraId="69C59D07" w14:textId="141C3E6C" w:rsidR="00996B83" w:rsidRPr="001D69D0" w:rsidRDefault="00996B83">
      <w:pPr>
        <w:pStyle w:val="FootnoteText"/>
        <w:rPr>
          <w:rFonts w:ascii="Times New Roman" w:hAnsi="Times New Roman" w:cs="Times New Roman"/>
          <w:lang w:val="en-CA"/>
        </w:rPr>
      </w:pPr>
      <w:r w:rsidRPr="001D69D0">
        <w:rPr>
          <w:rStyle w:val="FootnoteReference"/>
          <w:rFonts w:ascii="Times New Roman" w:hAnsi="Times New Roman" w:cs="Times New Roman"/>
        </w:rPr>
        <w:footnoteRef/>
      </w:r>
      <w:r w:rsidRPr="001D69D0">
        <w:rPr>
          <w:rFonts w:ascii="Times New Roman" w:hAnsi="Times New Roman" w:cs="Times New Roman"/>
        </w:rPr>
        <w:t xml:space="preserve"> </w:t>
      </w:r>
      <w:r w:rsidRPr="001D69D0">
        <w:rPr>
          <w:rFonts w:ascii="Times New Roman" w:hAnsi="Times New Roman" w:cs="Times New Roman"/>
          <w:i/>
          <w:lang w:val="en-CA"/>
        </w:rPr>
        <w:t>Ibid</w:t>
      </w:r>
      <w:r w:rsidRPr="001D69D0">
        <w:rPr>
          <w:rFonts w:ascii="Times New Roman" w:hAnsi="Times New Roman" w:cs="Times New Roman"/>
          <w:lang w:val="en-CA"/>
        </w:rPr>
        <w:t>, para 130.</w:t>
      </w:r>
    </w:p>
  </w:footnote>
  <w:footnote w:id="31">
    <w:p w14:paraId="71472D97" w14:textId="3C368AC1" w:rsidR="00996B83" w:rsidRPr="001D69D0" w:rsidRDefault="00996B83">
      <w:pPr>
        <w:pStyle w:val="FootnoteText"/>
        <w:rPr>
          <w:rFonts w:ascii="Times New Roman" w:hAnsi="Times New Roman" w:cs="Times New Roman"/>
          <w:lang w:val="en-CA"/>
        </w:rPr>
      </w:pPr>
      <w:r w:rsidRPr="001D69D0">
        <w:rPr>
          <w:rStyle w:val="FootnoteReference"/>
          <w:rFonts w:ascii="Times New Roman" w:hAnsi="Times New Roman" w:cs="Times New Roman"/>
        </w:rPr>
        <w:footnoteRef/>
      </w:r>
      <w:r w:rsidRPr="001D69D0">
        <w:rPr>
          <w:rFonts w:ascii="Times New Roman" w:hAnsi="Times New Roman" w:cs="Times New Roman"/>
        </w:rPr>
        <w:t xml:space="preserve"> </w:t>
      </w:r>
      <w:r w:rsidRPr="001D69D0">
        <w:rPr>
          <w:rFonts w:ascii="Times New Roman" w:hAnsi="Times New Roman" w:cs="Times New Roman"/>
          <w:i/>
          <w:lang w:val="en-CA"/>
        </w:rPr>
        <w:t xml:space="preserve">Ibid, </w:t>
      </w:r>
      <w:r w:rsidRPr="001D69D0">
        <w:rPr>
          <w:rFonts w:ascii="Times New Roman" w:hAnsi="Times New Roman" w:cs="Times New Roman"/>
          <w:lang w:val="en-CA"/>
        </w:rPr>
        <w:t>para 149.</w:t>
      </w:r>
    </w:p>
  </w:footnote>
  <w:footnote w:id="32">
    <w:p w14:paraId="6A9B9623" w14:textId="7EBA19BE" w:rsidR="00996B83" w:rsidRPr="001D69D0" w:rsidRDefault="00996B83">
      <w:pPr>
        <w:pStyle w:val="FootnoteText"/>
        <w:rPr>
          <w:rFonts w:ascii="Times New Roman" w:hAnsi="Times New Roman" w:cs="Times New Roman"/>
          <w:lang w:val="en-CA"/>
        </w:rPr>
      </w:pPr>
      <w:r w:rsidRPr="001D69D0">
        <w:rPr>
          <w:rStyle w:val="FootnoteReference"/>
          <w:rFonts w:ascii="Times New Roman" w:hAnsi="Times New Roman" w:cs="Times New Roman"/>
        </w:rPr>
        <w:footnoteRef/>
      </w:r>
      <w:r w:rsidRPr="001D69D0">
        <w:rPr>
          <w:rFonts w:ascii="Times New Roman" w:hAnsi="Times New Roman" w:cs="Times New Roman"/>
        </w:rPr>
        <w:t xml:space="preserve"> </w:t>
      </w:r>
      <w:r w:rsidR="00DD00A4" w:rsidRPr="001D69D0">
        <w:rPr>
          <w:rFonts w:ascii="Times New Roman" w:hAnsi="Times New Roman" w:cs="Times New Roman"/>
          <w:i/>
        </w:rPr>
        <w:t>Z and Others v the United Kingdom</w:t>
      </w:r>
      <w:r w:rsidR="00DD00A4" w:rsidRPr="001D69D0">
        <w:rPr>
          <w:rFonts w:ascii="Times New Roman" w:hAnsi="Times New Roman" w:cs="Times New Roman"/>
        </w:rPr>
        <w:t xml:space="preserve"> (application no. 29392/95), para 73.</w:t>
      </w:r>
    </w:p>
  </w:footnote>
  <w:footnote w:id="33">
    <w:p w14:paraId="1512C472" w14:textId="59C95B35" w:rsidR="00996B83" w:rsidRPr="001D69D0" w:rsidRDefault="00996B83">
      <w:pPr>
        <w:pStyle w:val="FootnoteText"/>
        <w:rPr>
          <w:rFonts w:ascii="Times New Roman" w:hAnsi="Times New Roman" w:cs="Times New Roman"/>
          <w:lang w:val="en-CA"/>
        </w:rPr>
      </w:pPr>
      <w:r w:rsidRPr="001D69D0">
        <w:rPr>
          <w:rStyle w:val="FootnoteReference"/>
          <w:rFonts w:ascii="Times New Roman" w:hAnsi="Times New Roman" w:cs="Times New Roman"/>
        </w:rPr>
        <w:footnoteRef/>
      </w:r>
      <w:r w:rsidRPr="001D69D0">
        <w:rPr>
          <w:rFonts w:ascii="Times New Roman" w:hAnsi="Times New Roman" w:cs="Times New Roman"/>
        </w:rPr>
        <w:t xml:space="preserve"> </w:t>
      </w:r>
      <w:r w:rsidRPr="001D69D0">
        <w:rPr>
          <w:rFonts w:ascii="Times New Roman" w:hAnsi="Times New Roman" w:cs="Times New Roman"/>
          <w:i/>
          <w:lang w:val="en-CA"/>
        </w:rPr>
        <w:t>E and Others v</w:t>
      </w:r>
      <w:r w:rsidR="00DD00A4" w:rsidRPr="001D69D0">
        <w:rPr>
          <w:rFonts w:ascii="Times New Roman" w:hAnsi="Times New Roman" w:cs="Times New Roman"/>
          <w:i/>
          <w:lang w:val="en-CA"/>
        </w:rPr>
        <w:t xml:space="preserve"> the</w:t>
      </w:r>
      <w:r w:rsidRPr="001D69D0">
        <w:rPr>
          <w:rFonts w:ascii="Times New Roman" w:hAnsi="Times New Roman" w:cs="Times New Roman"/>
          <w:i/>
          <w:lang w:val="en-CA"/>
        </w:rPr>
        <w:t xml:space="preserve"> United Kingdom </w:t>
      </w:r>
      <w:r w:rsidRPr="001D69D0">
        <w:rPr>
          <w:rFonts w:ascii="Times New Roman" w:hAnsi="Times New Roman" w:cs="Times New Roman"/>
          <w:lang w:val="en-CA"/>
        </w:rPr>
        <w:t xml:space="preserve">(application no. 33218/96), para 99. </w:t>
      </w:r>
    </w:p>
  </w:footnote>
  <w:footnote w:id="34">
    <w:p w14:paraId="7E230D98" w14:textId="1221B2AB" w:rsidR="00996B83" w:rsidRPr="001D69D0" w:rsidRDefault="00996B83">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w:t>
      </w:r>
      <w:r w:rsidRPr="001D69D0">
        <w:rPr>
          <w:rFonts w:ascii="Times New Roman" w:hAnsi="Times New Roman" w:cs="Times New Roman"/>
          <w:i/>
          <w:lang w:val="en-GB"/>
        </w:rPr>
        <w:t>Velázquez Rodriguez v Honduras</w:t>
      </w:r>
      <w:r w:rsidRPr="001D69D0">
        <w:rPr>
          <w:rFonts w:ascii="Times New Roman" w:hAnsi="Times New Roman" w:cs="Times New Roman"/>
          <w:lang w:val="en-GB"/>
        </w:rPr>
        <w:t xml:space="preserve">, Inter-Am Ct H R, (Ser C) No 4 (1988), dated (29 July 1988), para 172, online: </w:t>
      </w:r>
      <w:hyperlink r:id="rId20" w:history="1">
        <w:r w:rsidRPr="001D69D0">
          <w:rPr>
            <w:rStyle w:val="Hyperlink"/>
            <w:rFonts w:ascii="Times New Roman" w:hAnsi="Times New Roman" w:cs="Times New Roman"/>
            <w:lang w:val="en-GB"/>
          </w:rPr>
          <w:t>http://www.refworld.org/cases,IACRTHR,40279a9e4.html</w:t>
        </w:r>
      </w:hyperlink>
      <w:r w:rsidRPr="001D69D0">
        <w:rPr>
          <w:rFonts w:ascii="Times New Roman" w:hAnsi="Times New Roman" w:cs="Times New Roman"/>
          <w:lang w:val="en-GB"/>
        </w:rPr>
        <w:t xml:space="preserve">. </w:t>
      </w:r>
    </w:p>
  </w:footnote>
  <w:footnote w:id="35">
    <w:p w14:paraId="269350AD" w14:textId="31D0076A" w:rsidR="00996B83" w:rsidRPr="001D69D0" w:rsidRDefault="00996B83" w:rsidP="00D747C0">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Human Rights Committee, </w:t>
      </w:r>
      <w:r w:rsidRPr="001D69D0">
        <w:rPr>
          <w:rFonts w:ascii="Times New Roman" w:hAnsi="Times New Roman" w:cs="Times New Roman"/>
          <w:i/>
          <w:lang w:val="en-GB"/>
        </w:rPr>
        <w:t>General Comment No 28: Equality of rights between men and women (Article 3)</w:t>
      </w:r>
      <w:r w:rsidRPr="001D69D0">
        <w:rPr>
          <w:rFonts w:ascii="Times New Roman" w:hAnsi="Times New Roman" w:cs="Times New Roman"/>
          <w:lang w:val="en-GB"/>
        </w:rPr>
        <w:t xml:space="preserve">, UN Doc CCPR/C/21/Rev.1/Add.10 (29 March 2000), para 11, online: </w:t>
      </w:r>
      <w:hyperlink r:id="rId21" w:history="1">
        <w:r w:rsidRPr="001D69D0">
          <w:rPr>
            <w:rStyle w:val="Hyperlink"/>
            <w:rFonts w:ascii="Times New Roman" w:hAnsi="Times New Roman" w:cs="Times New Roman"/>
            <w:lang w:val="en-GB"/>
          </w:rPr>
          <w:t>http://www.refworld.org/docid/45139c9b4.html</w:t>
        </w:r>
      </w:hyperlink>
      <w:r w:rsidRPr="001D69D0">
        <w:rPr>
          <w:rFonts w:ascii="Times New Roman" w:hAnsi="Times New Roman" w:cs="Times New Roman"/>
          <w:lang w:val="en-GB"/>
        </w:rPr>
        <w:t>.</w:t>
      </w:r>
    </w:p>
  </w:footnote>
  <w:footnote w:id="36">
    <w:p w14:paraId="4ABF523E" w14:textId="14B93751" w:rsidR="00996B83" w:rsidRPr="001D69D0" w:rsidRDefault="00996B83" w:rsidP="00FD5AEB">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Human Rights Committee, </w:t>
      </w:r>
      <w:r w:rsidRPr="001D69D0">
        <w:rPr>
          <w:rFonts w:ascii="Times New Roman" w:hAnsi="Times New Roman" w:cs="Times New Roman"/>
          <w:i/>
          <w:lang w:val="en-GB"/>
        </w:rPr>
        <w:t>General Comment No 20</w:t>
      </w:r>
      <w:r w:rsidRPr="001D69D0">
        <w:rPr>
          <w:rFonts w:ascii="Times New Roman" w:hAnsi="Times New Roman" w:cs="Times New Roman"/>
          <w:i/>
          <w:iCs/>
          <w:lang w:val="en-GB"/>
        </w:rPr>
        <w:t>: Article 7</w:t>
      </w:r>
      <w:r w:rsidRPr="001D69D0">
        <w:rPr>
          <w:rFonts w:ascii="Times New Roman" w:hAnsi="Times New Roman" w:cs="Times New Roman"/>
          <w:i/>
          <w:lang w:val="en-GB"/>
        </w:rPr>
        <w:t xml:space="preserve">, </w:t>
      </w:r>
      <w:r w:rsidRPr="001D69D0">
        <w:rPr>
          <w:rFonts w:ascii="Times New Roman" w:hAnsi="Times New Roman" w:cs="Times New Roman"/>
          <w:lang w:val="en-GB"/>
        </w:rPr>
        <w:t xml:space="preserve">(10 March 1992), para 13, online: </w:t>
      </w:r>
      <w:hyperlink r:id="rId22" w:history="1">
        <w:r w:rsidRPr="001D69D0">
          <w:rPr>
            <w:rStyle w:val="Hyperlink"/>
            <w:rFonts w:ascii="Times New Roman" w:hAnsi="Times New Roman" w:cs="Times New Roman"/>
            <w:lang w:val="en-GB"/>
          </w:rPr>
          <w:t>http://www.refworld.org/docid/453883fb0.html</w:t>
        </w:r>
      </w:hyperlink>
      <w:r w:rsidRPr="001D69D0">
        <w:rPr>
          <w:rFonts w:ascii="Times New Roman" w:hAnsi="Times New Roman" w:cs="Times New Roman"/>
          <w:lang w:val="en-GB"/>
        </w:rPr>
        <w:t xml:space="preserve">.  </w:t>
      </w:r>
    </w:p>
  </w:footnote>
  <w:footnote w:id="37">
    <w:p w14:paraId="3D768D7D" w14:textId="344F0B5F" w:rsidR="00996B83" w:rsidRPr="001D69D0" w:rsidRDefault="00996B83">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w:t>
      </w:r>
      <w:r w:rsidRPr="001D69D0">
        <w:rPr>
          <w:rFonts w:ascii="Times New Roman" w:hAnsi="Times New Roman" w:cs="Times New Roman"/>
          <w:i/>
          <w:lang w:val="en-GB"/>
        </w:rPr>
        <w:t>Ibid</w:t>
      </w:r>
      <w:r w:rsidRPr="001D69D0">
        <w:rPr>
          <w:rFonts w:ascii="Times New Roman" w:hAnsi="Times New Roman" w:cs="Times New Roman"/>
          <w:lang w:val="en-GB"/>
        </w:rPr>
        <w:t>, para 2.</w:t>
      </w:r>
    </w:p>
  </w:footnote>
  <w:footnote w:id="38">
    <w:p w14:paraId="2A68A52F" w14:textId="208BCEAF" w:rsidR="00996B83" w:rsidRPr="001D69D0" w:rsidRDefault="00996B83">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Inter-American Commission of Human Rights, </w:t>
      </w:r>
      <w:r w:rsidRPr="001D69D0">
        <w:rPr>
          <w:rFonts w:ascii="Times New Roman" w:hAnsi="Times New Roman" w:cs="Times New Roman"/>
          <w:i/>
          <w:lang w:val="en-GB"/>
        </w:rPr>
        <w:t>Report on the Situation of Human Rights in Haiti</w:t>
      </w:r>
      <w:r w:rsidRPr="001D69D0">
        <w:rPr>
          <w:rFonts w:ascii="Times New Roman" w:hAnsi="Times New Roman" w:cs="Times New Roman"/>
          <w:lang w:val="en-GB"/>
        </w:rPr>
        <w:t>, Doc 10 rev OEA/</w:t>
      </w:r>
      <w:proofErr w:type="spellStart"/>
      <w:r w:rsidRPr="001D69D0">
        <w:rPr>
          <w:rFonts w:ascii="Times New Roman" w:hAnsi="Times New Roman" w:cs="Times New Roman"/>
          <w:lang w:val="en-GB"/>
        </w:rPr>
        <w:t>Ser.L</w:t>
      </w:r>
      <w:proofErr w:type="spellEnd"/>
      <w:r w:rsidRPr="001D69D0">
        <w:rPr>
          <w:rFonts w:ascii="Times New Roman" w:hAnsi="Times New Roman" w:cs="Times New Roman"/>
          <w:lang w:val="en-GB"/>
        </w:rPr>
        <w:t xml:space="preserve">/v/II.88 (9 February 1995), para 129, 130 and 134, online: </w:t>
      </w:r>
      <w:hyperlink r:id="rId23" w:history="1">
        <w:r w:rsidRPr="001D69D0">
          <w:rPr>
            <w:rStyle w:val="Hyperlink"/>
            <w:rFonts w:ascii="Times New Roman" w:hAnsi="Times New Roman" w:cs="Times New Roman"/>
            <w:lang w:val="en-GB"/>
          </w:rPr>
          <w:t>http://www.cidh.org/countryrep/EnHa95/EngHaiti.htm</w:t>
        </w:r>
      </w:hyperlink>
      <w:r w:rsidRPr="001D69D0">
        <w:rPr>
          <w:rFonts w:ascii="Times New Roman" w:hAnsi="Times New Roman" w:cs="Times New Roman"/>
          <w:lang w:val="en-GB"/>
        </w:rPr>
        <w:t>.</w:t>
      </w:r>
    </w:p>
  </w:footnote>
  <w:footnote w:id="39">
    <w:p w14:paraId="2403208E" w14:textId="2E84C227" w:rsidR="00996B83" w:rsidRPr="001D69D0" w:rsidRDefault="00996B83">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Special Rapporteur on Violence Against Women, its Causes and Consequences (Ms Radhika Coomaraswamy),</w:t>
      </w:r>
      <w:r w:rsidRPr="001D69D0">
        <w:rPr>
          <w:rFonts w:ascii="Times New Roman" w:hAnsi="Times New Roman" w:cs="Times New Roman"/>
          <w:i/>
          <w:lang w:val="en-GB"/>
        </w:rPr>
        <w:t xml:space="preserve"> Report of the Special Rapporteur: Submitted in accordance with Commission on Human Rights Resolution 1995/85</w:t>
      </w:r>
      <w:r w:rsidRPr="001D69D0">
        <w:rPr>
          <w:rFonts w:ascii="Times New Roman" w:hAnsi="Times New Roman" w:cs="Times New Roman"/>
          <w:lang w:val="en-GB"/>
        </w:rPr>
        <w:t>, 52</w:t>
      </w:r>
      <w:r w:rsidRPr="001D69D0">
        <w:rPr>
          <w:rFonts w:ascii="Times New Roman" w:hAnsi="Times New Roman" w:cs="Times New Roman"/>
          <w:vertAlign w:val="superscript"/>
          <w:lang w:val="en-GB"/>
        </w:rPr>
        <w:t>nd</w:t>
      </w:r>
      <w:r w:rsidRPr="001D69D0">
        <w:rPr>
          <w:rFonts w:ascii="Times New Roman" w:hAnsi="Times New Roman" w:cs="Times New Roman"/>
          <w:lang w:val="en-GB"/>
        </w:rPr>
        <w:t xml:space="preserve"> </w:t>
      </w:r>
      <w:proofErr w:type="spellStart"/>
      <w:r w:rsidRPr="001D69D0">
        <w:rPr>
          <w:rFonts w:ascii="Times New Roman" w:hAnsi="Times New Roman" w:cs="Times New Roman"/>
          <w:lang w:val="en-GB"/>
        </w:rPr>
        <w:t>Sess</w:t>
      </w:r>
      <w:proofErr w:type="spellEnd"/>
      <w:r w:rsidRPr="001D69D0">
        <w:rPr>
          <w:rFonts w:ascii="Times New Roman" w:hAnsi="Times New Roman" w:cs="Times New Roman"/>
          <w:lang w:val="en-GB"/>
        </w:rPr>
        <w:t xml:space="preserve">, UN Doc E/CN.4/1996/53 (5 February 1996), para 50, online: </w:t>
      </w:r>
      <w:hyperlink r:id="rId24" w:history="1">
        <w:r w:rsidRPr="001D69D0">
          <w:rPr>
            <w:rStyle w:val="Hyperlink"/>
            <w:rFonts w:ascii="Times New Roman" w:hAnsi="Times New Roman" w:cs="Times New Roman"/>
            <w:lang w:val="en-GB"/>
          </w:rPr>
          <w:t>http://undocs.org/E/CN.4/1996/53</w:t>
        </w:r>
      </w:hyperlink>
      <w:r w:rsidRPr="001D69D0">
        <w:rPr>
          <w:rFonts w:ascii="Times New Roman" w:hAnsi="Times New Roman" w:cs="Times New Roman"/>
          <w:lang w:val="en-GB"/>
        </w:rPr>
        <w:t xml:space="preserve">. </w:t>
      </w:r>
    </w:p>
  </w:footnote>
  <w:footnote w:id="40">
    <w:p w14:paraId="72050E09" w14:textId="4AE600E5" w:rsidR="00996B83" w:rsidRPr="001D69D0" w:rsidRDefault="00996B83">
      <w:pPr>
        <w:pStyle w:val="FootnoteText"/>
        <w:rPr>
          <w:rFonts w:ascii="Times New Roman" w:hAnsi="Times New Roman" w:cs="Times New Roman"/>
          <w:lang w:val="en-CA"/>
        </w:rPr>
      </w:pPr>
      <w:r w:rsidRPr="001D69D0">
        <w:rPr>
          <w:rStyle w:val="FootnoteReference"/>
          <w:rFonts w:ascii="Times New Roman" w:hAnsi="Times New Roman" w:cs="Times New Roman"/>
        </w:rPr>
        <w:footnoteRef/>
      </w:r>
      <w:r w:rsidRPr="001D69D0">
        <w:rPr>
          <w:rFonts w:ascii="Times New Roman" w:hAnsi="Times New Roman" w:cs="Times New Roman"/>
        </w:rPr>
        <w:t xml:space="preserve"> </w:t>
      </w:r>
      <w:r w:rsidRPr="001D69D0">
        <w:rPr>
          <w:rFonts w:ascii="Times New Roman" w:hAnsi="Times New Roman" w:cs="Times New Roman"/>
          <w:i/>
        </w:rPr>
        <w:t>Ibid</w:t>
      </w:r>
      <w:r w:rsidRPr="001D69D0">
        <w:rPr>
          <w:rFonts w:ascii="Times New Roman" w:hAnsi="Times New Roman" w:cs="Times New Roman"/>
        </w:rPr>
        <w:t>, paras 42-49.</w:t>
      </w:r>
    </w:p>
  </w:footnote>
  <w:footnote w:id="41">
    <w:p w14:paraId="631A64FC" w14:textId="020CA2AA" w:rsidR="00996B83" w:rsidRPr="001D69D0" w:rsidRDefault="00996B83" w:rsidP="00911FC4">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Special Rapporteur on Violence Against Women, its Causes and Consequences (</w:t>
      </w:r>
      <w:proofErr w:type="spellStart"/>
      <w:r w:rsidRPr="001D69D0">
        <w:rPr>
          <w:rFonts w:ascii="Times New Roman" w:hAnsi="Times New Roman" w:cs="Times New Roman"/>
          <w:lang w:val="en-GB"/>
        </w:rPr>
        <w:t>Dubravka</w:t>
      </w:r>
      <w:proofErr w:type="spellEnd"/>
      <w:r w:rsidRPr="001D69D0">
        <w:rPr>
          <w:rFonts w:ascii="Times New Roman" w:hAnsi="Times New Roman" w:cs="Times New Roman"/>
          <w:lang w:val="en-GB"/>
        </w:rPr>
        <w:t xml:space="preserve"> </w:t>
      </w:r>
      <w:proofErr w:type="spellStart"/>
      <w:r w:rsidRPr="001D69D0">
        <w:rPr>
          <w:rFonts w:ascii="Times New Roman" w:hAnsi="Times New Roman" w:cs="Times New Roman"/>
          <w:lang w:val="en-GB"/>
        </w:rPr>
        <w:t>Šimonović</w:t>
      </w:r>
      <w:proofErr w:type="spellEnd"/>
      <w:r w:rsidRPr="001D69D0">
        <w:rPr>
          <w:rFonts w:ascii="Times New Roman" w:hAnsi="Times New Roman" w:cs="Times New Roman"/>
          <w:lang w:val="en-GB"/>
        </w:rPr>
        <w:t>),</w:t>
      </w:r>
      <w:r w:rsidRPr="001D69D0">
        <w:rPr>
          <w:rFonts w:ascii="Times New Roman" w:hAnsi="Times New Roman" w:cs="Times New Roman"/>
          <w:i/>
          <w:lang w:val="en-GB"/>
        </w:rPr>
        <w:t xml:space="preserve"> Report of the Special Rapporteur: Adequacy of the international legal framework on violence against women</w:t>
      </w:r>
      <w:r w:rsidRPr="001D69D0">
        <w:rPr>
          <w:rFonts w:ascii="Times New Roman" w:hAnsi="Times New Roman" w:cs="Times New Roman"/>
          <w:lang w:val="en-GB"/>
        </w:rPr>
        <w:t>, 72</w:t>
      </w:r>
      <w:r w:rsidRPr="001D69D0">
        <w:rPr>
          <w:rFonts w:ascii="Times New Roman" w:hAnsi="Times New Roman" w:cs="Times New Roman"/>
          <w:vertAlign w:val="superscript"/>
          <w:lang w:val="en-GB"/>
        </w:rPr>
        <w:t>nd</w:t>
      </w:r>
      <w:r w:rsidRPr="001D69D0">
        <w:rPr>
          <w:rFonts w:ascii="Times New Roman" w:hAnsi="Times New Roman" w:cs="Times New Roman"/>
          <w:lang w:val="en-GB"/>
        </w:rPr>
        <w:t xml:space="preserve"> </w:t>
      </w:r>
      <w:proofErr w:type="spellStart"/>
      <w:r w:rsidRPr="001D69D0">
        <w:rPr>
          <w:rFonts w:ascii="Times New Roman" w:hAnsi="Times New Roman" w:cs="Times New Roman"/>
          <w:lang w:val="en-GB"/>
        </w:rPr>
        <w:t>Sess</w:t>
      </w:r>
      <w:proofErr w:type="spellEnd"/>
      <w:r w:rsidRPr="001D69D0">
        <w:rPr>
          <w:rFonts w:ascii="Times New Roman" w:hAnsi="Times New Roman" w:cs="Times New Roman"/>
          <w:lang w:val="en-GB"/>
        </w:rPr>
        <w:t xml:space="preserve">, UN Doc A/72/134 (19 July 2017), paras 17, 43 and 86, online: </w:t>
      </w:r>
      <w:hyperlink r:id="rId25" w:history="1">
        <w:r w:rsidRPr="001D69D0">
          <w:rPr>
            <w:rStyle w:val="Hyperlink"/>
            <w:rFonts w:ascii="Times New Roman" w:hAnsi="Times New Roman" w:cs="Times New Roman"/>
            <w:lang w:val="en-GB"/>
          </w:rPr>
          <w:t>http://undocs.org/A/72/134</w:t>
        </w:r>
      </w:hyperlink>
      <w:r w:rsidRPr="001D69D0">
        <w:rPr>
          <w:rFonts w:ascii="Times New Roman" w:hAnsi="Times New Roman" w:cs="Times New Roman"/>
          <w:lang w:val="en-GB"/>
        </w:rPr>
        <w:t xml:space="preserve">. See also: Special Rapporteur on Violence Against Women, its Causes and Consequences (Rashida </w:t>
      </w:r>
      <w:proofErr w:type="spellStart"/>
      <w:r w:rsidRPr="001D69D0">
        <w:rPr>
          <w:rFonts w:ascii="Times New Roman" w:hAnsi="Times New Roman" w:cs="Times New Roman"/>
          <w:lang w:val="en-GB"/>
        </w:rPr>
        <w:t>Manjoo</w:t>
      </w:r>
      <w:proofErr w:type="spellEnd"/>
      <w:r w:rsidRPr="001D69D0">
        <w:rPr>
          <w:rFonts w:ascii="Times New Roman" w:hAnsi="Times New Roman" w:cs="Times New Roman"/>
          <w:lang w:val="en-GB"/>
        </w:rPr>
        <w:t xml:space="preserve">), </w:t>
      </w:r>
      <w:r w:rsidRPr="001D69D0">
        <w:rPr>
          <w:rFonts w:ascii="Times New Roman" w:hAnsi="Times New Roman" w:cs="Times New Roman"/>
          <w:i/>
          <w:lang w:val="en-GB"/>
        </w:rPr>
        <w:t>Report of the Special Rapporteur: State Responsibility for eliminating violence against women</w:t>
      </w:r>
      <w:r w:rsidRPr="001D69D0">
        <w:rPr>
          <w:rFonts w:ascii="Times New Roman" w:hAnsi="Times New Roman" w:cs="Times New Roman"/>
          <w:lang w:val="en-GB"/>
        </w:rPr>
        <w:t>, 23</w:t>
      </w:r>
      <w:r w:rsidRPr="001D69D0">
        <w:rPr>
          <w:rFonts w:ascii="Times New Roman" w:hAnsi="Times New Roman" w:cs="Times New Roman"/>
          <w:vertAlign w:val="superscript"/>
          <w:lang w:val="en-GB"/>
        </w:rPr>
        <w:t>rd</w:t>
      </w:r>
      <w:r w:rsidRPr="001D69D0">
        <w:rPr>
          <w:rFonts w:ascii="Times New Roman" w:hAnsi="Times New Roman" w:cs="Times New Roman"/>
          <w:lang w:val="en-GB"/>
        </w:rPr>
        <w:t xml:space="preserve"> </w:t>
      </w:r>
      <w:proofErr w:type="spellStart"/>
      <w:r w:rsidRPr="001D69D0">
        <w:rPr>
          <w:rFonts w:ascii="Times New Roman" w:hAnsi="Times New Roman" w:cs="Times New Roman"/>
          <w:lang w:val="en-GB"/>
        </w:rPr>
        <w:t>Sess</w:t>
      </w:r>
      <w:proofErr w:type="spellEnd"/>
      <w:r w:rsidRPr="001D69D0">
        <w:rPr>
          <w:rFonts w:ascii="Times New Roman" w:hAnsi="Times New Roman" w:cs="Times New Roman"/>
          <w:lang w:val="en-GB"/>
        </w:rPr>
        <w:t xml:space="preserve">, UN Doc A/HRC/23/49 (14 May 2013), para 27, online: </w:t>
      </w:r>
      <w:hyperlink r:id="rId26" w:history="1">
        <w:r w:rsidRPr="001D69D0">
          <w:rPr>
            <w:rStyle w:val="Hyperlink"/>
            <w:rFonts w:ascii="Times New Roman" w:hAnsi="Times New Roman" w:cs="Times New Roman"/>
            <w:lang w:val="en-GB"/>
          </w:rPr>
          <w:t>http://undocs.org/A/HRC/23/49</w:t>
        </w:r>
      </w:hyperlink>
      <w:r w:rsidRPr="001D69D0">
        <w:rPr>
          <w:rFonts w:ascii="Times New Roman" w:hAnsi="Times New Roman" w:cs="Times New Roman"/>
          <w:lang w:val="en-GB"/>
        </w:rPr>
        <w:t xml:space="preserve">; Special Rapporteur on Violence Against Women, its Causes and Consequences (Rashida </w:t>
      </w:r>
      <w:proofErr w:type="spellStart"/>
      <w:r w:rsidRPr="001D69D0">
        <w:rPr>
          <w:rFonts w:ascii="Times New Roman" w:hAnsi="Times New Roman" w:cs="Times New Roman"/>
          <w:lang w:val="en-GB"/>
        </w:rPr>
        <w:t>Manjoo</w:t>
      </w:r>
      <w:proofErr w:type="spellEnd"/>
      <w:r w:rsidRPr="001D69D0">
        <w:rPr>
          <w:rFonts w:ascii="Times New Roman" w:hAnsi="Times New Roman" w:cs="Times New Roman"/>
          <w:lang w:val="en-GB"/>
        </w:rPr>
        <w:t xml:space="preserve">), </w:t>
      </w:r>
      <w:r w:rsidRPr="001D69D0">
        <w:rPr>
          <w:rFonts w:ascii="Times New Roman" w:hAnsi="Times New Roman" w:cs="Times New Roman"/>
          <w:i/>
          <w:lang w:val="en-GB"/>
        </w:rPr>
        <w:t>Report of the Special Rapporteur: Violence against women – Twenty years of developments to combat violence against women</w:t>
      </w:r>
      <w:r w:rsidRPr="001D69D0">
        <w:rPr>
          <w:rFonts w:ascii="Times New Roman" w:hAnsi="Times New Roman" w:cs="Times New Roman"/>
          <w:lang w:val="en-GB"/>
        </w:rPr>
        <w:t>, 26</w:t>
      </w:r>
      <w:r w:rsidRPr="001D69D0">
        <w:rPr>
          <w:rFonts w:ascii="Times New Roman" w:hAnsi="Times New Roman" w:cs="Times New Roman"/>
          <w:vertAlign w:val="superscript"/>
          <w:lang w:val="en-GB"/>
        </w:rPr>
        <w:t>th</w:t>
      </w:r>
      <w:r w:rsidRPr="001D69D0">
        <w:rPr>
          <w:rFonts w:ascii="Times New Roman" w:hAnsi="Times New Roman" w:cs="Times New Roman"/>
          <w:lang w:val="en-GB"/>
        </w:rPr>
        <w:t xml:space="preserve"> </w:t>
      </w:r>
      <w:proofErr w:type="spellStart"/>
      <w:r w:rsidRPr="001D69D0">
        <w:rPr>
          <w:rFonts w:ascii="Times New Roman" w:hAnsi="Times New Roman" w:cs="Times New Roman"/>
          <w:lang w:val="en-GB"/>
        </w:rPr>
        <w:t>Sess</w:t>
      </w:r>
      <w:proofErr w:type="spellEnd"/>
      <w:r w:rsidRPr="001D69D0">
        <w:rPr>
          <w:rFonts w:ascii="Times New Roman" w:hAnsi="Times New Roman" w:cs="Times New Roman"/>
          <w:lang w:val="en-GB"/>
        </w:rPr>
        <w:t xml:space="preserve">, UN Doc A/HRC/26/38 (28 May 2014), para 21, online: </w:t>
      </w:r>
      <w:hyperlink r:id="rId27" w:history="1">
        <w:r w:rsidRPr="001D69D0">
          <w:rPr>
            <w:rStyle w:val="Hyperlink"/>
            <w:rFonts w:ascii="Times New Roman" w:hAnsi="Times New Roman" w:cs="Times New Roman"/>
            <w:lang w:val="en-GB"/>
          </w:rPr>
          <w:t>http://undocs.org/A/HRC/26/38</w:t>
        </w:r>
      </w:hyperlink>
      <w:r w:rsidRPr="001D69D0">
        <w:rPr>
          <w:rFonts w:ascii="Times New Roman" w:hAnsi="Times New Roman" w:cs="Times New Roman"/>
          <w:lang w:val="en-GB"/>
        </w:rPr>
        <w:t>, where the Rapporteur notes the relevance of the Convention against Torture to combating violence against women, and para 24 of the report where the Rapporteur notes her observations on CAT General Comment No 2 (</w:t>
      </w:r>
      <w:r w:rsidRPr="001D69D0">
        <w:rPr>
          <w:rFonts w:ascii="Times New Roman" w:hAnsi="Times New Roman" w:cs="Times New Roman"/>
          <w:i/>
          <w:lang w:val="en-GB"/>
        </w:rPr>
        <w:t>supra</w:t>
      </w:r>
      <w:r w:rsidRPr="001D69D0">
        <w:rPr>
          <w:rFonts w:ascii="Times New Roman" w:hAnsi="Times New Roman" w:cs="Times New Roman"/>
          <w:lang w:val="en-GB"/>
        </w:rPr>
        <w:t xml:space="preserve">, note </w:t>
      </w:r>
      <w:r w:rsidRPr="001D69D0">
        <w:rPr>
          <w:rFonts w:ascii="Times New Roman" w:hAnsi="Times New Roman" w:cs="Times New Roman"/>
          <w:lang w:val="en-GB"/>
        </w:rPr>
        <w:fldChar w:fldCharType="begin"/>
      </w:r>
      <w:r w:rsidRPr="001D69D0">
        <w:rPr>
          <w:rFonts w:ascii="Times New Roman" w:hAnsi="Times New Roman" w:cs="Times New Roman"/>
          <w:lang w:val="en-GB"/>
        </w:rPr>
        <w:instrText xml:space="preserve"> NOTEREF _Ref530055498 \h  \* MERGEFORMAT </w:instrText>
      </w:r>
      <w:r w:rsidRPr="001D69D0">
        <w:rPr>
          <w:rFonts w:ascii="Times New Roman" w:hAnsi="Times New Roman" w:cs="Times New Roman"/>
          <w:lang w:val="en-GB"/>
        </w:rPr>
      </w:r>
      <w:r w:rsidRPr="001D69D0">
        <w:rPr>
          <w:rFonts w:ascii="Times New Roman" w:hAnsi="Times New Roman" w:cs="Times New Roman"/>
          <w:lang w:val="en-GB"/>
        </w:rPr>
        <w:fldChar w:fldCharType="separate"/>
      </w:r>
      <w:r w:rsidR="002C477A" w:rsidRPr="001D69D0">
        <w:rPr>
          <w:rFonts w:ascii="Times New Roman" w:hAnsi="Times New Roman" w:cs="Times New Roman"/>
          <w:lang w:val="en-GB"/>
        </w:rPr>
        <w:t>4</w:t>
      </w:r>
      <w:r w:rsidRPr="001D69D0">
        <w:rPr>
          <w:rFonts w:ascii="Times New Roman" w:hAnsi="Times New Roman" w:cs="Times New Roman"/>
          <w:lang w:val="en-GB"/>
        </w:rPr>
        <w:fldChar w:fldCharType="end"/>
      </w:r>
      <w:r w:rsidRPr="001D69D0">
        <w:rPr>
          <w:rFonts w:ascii="Times New Roman" w:hAnsi="Times New Roman" w:cs="Times New Roman"/>
          <w:lang w:val="en-GB"/>
        </w:rPr>
        <w:t xml:space="preserve">); Special Rapporteur on Violence Against Women, its Causes and Consequences (Ms. Radhika Coomaraswamy), </w:t>
      </w:r>
      <w:r w:rsidRPr="001D69D0">
        <w:rPr>
          <w:rFonts w:ascii="Times New Roman" w:hAnsi="Times New Roman" w:cs="Times New Roman"/>
          <w:i/>
          <w:lang w:val="en-GB"/>
        </w:rPr>
        <w:t>Report of the Special Rapporteur: Violence against women in the family</w:t>
      </w:r>
      <w:r w:rsidRPr="001D69D0">
        <w:rPr>
          <w:rFonts w:ascii="Times New Roman" w:hAnsi="Times New Roman" w:cs="Times New Roman"/>
          <w:lang w:val="en-GB"/>
        </w:rPr>
        <w:t>, 55</w:t>
      </w:r>
      <w:r w:rsidRPr="001D69D0">
        <w:rPr>
          <w:rFonts w:ascii="Times New Roman" w:hAnsi="Times New Roman" w:cs="Times New Roman"/>
          <w:vertAlign w:val="superscript"/>
          <w:lang w:val="en-GB"/>
        </w:rPr>
        <w:t>th</w:t>
      </w:r>
      <w:r w:rsidRPr="001D69D0">
        <w:rPr>
          <w:rFonts w:ascii="Times New Roman" w:hAnsi="Times New Roman" w:cs="Times New Roman"/>
          <w:lang w:val="en-GB"/>
        </w:rPr>
        <w:t xml:space="preserve"> </w:t>
      </w:r>
      <w:proofErr w:type="spellStart"/>
      <w:r w:rsidRPr="001D69D0">
        <w:rPr>
          <w:rFonts w:ascii="Times New Roman" w:hAnsi="Times New Roman" w:cs="Times New Roman"/>
          <w:lang w:val="en-GB"/>
        </w:rPr>
        <w:t>Sess</w:t>
      </w:r>
      <w:proofErr w:type="spellEnd"/>
      <w:r w:rsidRPr="001D69D0">
        <w:rPr>
          <w:rFonts w:ascii="Times New Roman" w:hAnsi="Times New Roman" w:cs="Times New Roman"/>
          <w:lang w:val="en-GB"/>
        </w:rPr>
        <w:t xml:space="preserve">, UN Doc E/CN.4/1999/68 (10 March 1999), para 22, online: </w:t>
      </w:r>
      <w:hyperlink r:id="rId28" w:history="1">
        <w:r w:rsidRPr="001D69D0">
          <w:rPr>
            <w:rStyle w:val="Hyperlink"/>
            <w:rFonts w:ascii="Times New Roman" w:hAnsi="Times New Roman" w:cs="Times New Roman"/>
            <w:lang w:val="en-GB"/>
          </w:rPr>
          <w:t>http://undocs.org/E/CN.4/1999/68</w:t>
        </w:r>
      </w:hyperlink>
      <w:r w:rsidRPr="001D69D0">
        <w:rPr>
          <w:rFonts w:ascii="Times New Roman" w:hAnsi="Times New Roman" w:cs="Times New Roman"/>
          <w:lang w:val="en-GB"/>
        </w:rPr>
        <w:t xml:space="preserve">, where the Rapporteur notes “scholars have argued that domestic violence is a form of torture and should be dealt with accordingly.” </w:t>
      </w:r>
    </w:p>
  </w:footnote>
  <w:footnote w:id="42">
    <w:p w14:paraId="5FB4E5E0" w14:textId="39C91565" w:rsidR="00996B83" w:rsidRPr="001D69D0" w:rsidRDefault="00996B83">
      <w:pPr>
        <w:pStyle w:val="FootnoteText"/>
        <w:rPr>
          <w:rFonts w:ascii="Times New Roman" w:hAnsi="Times New Roman" w:cs="Times New Roman"/>
          <w:lang w:val="en-GB"/>
        </w:rPr>
      </w:pPr>
      <w:r w:rsidRPr="001D69D0">
        <w:rPr>
          <w:rStyle w:val="FootnoteReference"/>
          <w:rFonts w:ascii="Times New Roman" w:hAnsi="Times New Roman" w:cs="Times New Roman"/>
          <w:lang w:val="en-GB"/>
        </w:rPr>
        <w:footnoteRef/>
      </w:r>
      <w:r w:rsidRPr="001D69D0">
        <w:rPr>
          <w:rFonts w:ascii="Times New Roman" w:hAnsi="Times New Roman" w:cs="Times New Roman"/>
          <w:lang w:val="en-GB"/>
        </w:rPr>
        <w:t xml:space="preserve"> Special Rapporteur on Violence Against Women, its Causes and Consequences (Rashida </w:t>
      </w:r>
      <w:proofErr w:type="spellStart"/>
      <w:r w:rsidRPr="001D69D0">
        <w:rPr>
          <w:rFonts w:ascii="Times New Roman" w:hAnsi="Times New Roman" w:cs="Times New Roman"/>
          <w:lang w:val="en-GB"/>
        </w:rPr>
        <w:t>Manjoo</w:t>
      </w:r>
      <w:proofErr w:type="spellEnd"/>
      <w:r w:rsidRPr="001D69D0">
        <w:rPr>
          <w:rFonts w:ascii="Times New Roman" w:hAnsi="Times New Roman" w:cs="Times New Roman"/>
          <w:lang w:val="en-GB"/>
        </w:rPr>
        <w:t xml:space="preserve">), </w:t>
      </w:r>
      <w:r w:rsidRPr="001D69D0">
        <w:rPr>
          <w:rFonts w:ascii="Times New Roman" w:hAnsi="Times New Roman" w:cs="Times New Roman"/>
          <w:i/>
          <w:lang w:val="en-GB"/>
        </w:rPr>
        <w:t>Report of the Special Rapporteur: Multiple and intersecting forms of discrimination and violence against women</w:t>
      </w:r>
      <w:r w:rsidRPr="001D69D0">
        <w:rPr>
          <w:rFonts w:ascii="Times New Roman" w:hAnsi="Times New Roman" w:cs="Times New Roman"/>
          <w:lang w:val="en-GB"/>
        </w:rPr>
        <w:t>, 17</w:t>
      </w:r>
      <w:r w:rsidRPr="001D69D0">
        <w:rPr>
          <w:rFonts w:ascii="Times New Roman" w:hAnsi="Times New Roman" w:cs="Times New Roman"/>
          <w:vertAlign w:val="superscript"/>
          <w:lang w:val="en-GB"/>
        </w:rPr>
        <w:t>th</w:t>
      </w:r>
      <w:r w:rsidRPr="001D69D0">
        <w:rPr>
          <w:rFonts w:ascii="Times New Roman" w:hAnsi="Times New Roman" w:cs="Times New Roman"/>
          <w:lang w:val="en-GB"/>
        </w:rPr>
        <w:t xml:space="preserve"> </w:t>
      </w:r>
      <w:proofErr w:type="spellStart"/>
      <w:r w:rsidRPr="001D69D0">
        <w:rPr>
          <w:rFonts w:ascii="Times New Roman" w:hAnsi="Times New Roman" w:cs="Times New Roman"/>
          <w:lang w:val="en-GB"/>
        </w:rPr>
        <w:t>Sess</w:t>
      </w:r>
      <w:proofErr w:type="spellEnd"/>
      <w:r w:rsidRPr="001D69D0">
        <w:rPr>
          <w:rFonts w:ascii="Times New Roman" w:hAnsi="Times New Roman" w:cs="Times New Roman"/>
          <w:lang w:val="en-GB"/>
        </w:rPr>
        <w:t xml:space="preserve">, UN Doc A/HRC/17/26 (2 May 2011), para 55, online: </w:t>
      </w:r>
      <w:hyperlink r:id="rId29" w:history="1">
        <w:r w:rsidRPr="001D69D0">
          <w:rPr>
            <w:rStyle w:val="Hyperlink"/>
            <w:rFonts w:ascii="Times New Roman" w:hAnsi="Times New Roman" w:cs="Times New Roman"/>
            <w:lang w:val="en-GB"/>
          </w:rPr>
          <w:t>http://undocs.org/A/HRC/17/26</w:t>
        </w:r>
      </w:hyperlink>
      <w:r w:rsidRPr="001D69D0">
        <w:rPr>
          <w:rFonts w:ascii="Times New Roman" w:hAnsi="Times New Roman" w:cs="Times New Roman"/>
          <w:lang w:val="en-GB"/>
        </w:rPr>
        <w:t>.</w:t>
      </w:r>
    </w:p>
  </w:footnote>
  <w:footnote w:id="43">
    <w:p w14:paraId="4A870A23" w14:textId="5E579774" w:rsidR="00996B83" w:rsidRPr="001D69D0" w:rsidRDefault="00996B83" w:rsidP="00CA4AB3">
      <w:pPr>
        <w:pStyle w:val="FootnoteText"/>
        <w:jc w:val="both"/>
        <w:rPr>
          <w:rFonts w:ascii="Times New Roman" w:hAnsi="Times New Roman" w:cs="Times New Roman"/>
        </w:rPr>
      </w:pPr>
      <w:r w:rsidRPr="001D69D0">
        <w:rPr>
          <w:rStyle w:val="FootnoteReference"/>
          <w:rFonts w:ascii="Times New Roman" w:hAnsi="Times New Roman" w:cs="Times New Roman"/>
        </w:rPr>
        <w:footnoteRef/>
      </w:r>
      <w:r w:rsidRPr="001D69D0">
        <w:rPr>
          <w:rFonts w:ascii="Times New Roman" w:hAnsi="Times New Roman" w:cs="Times New Roman"/>
        </w:rPr>
        <w:t xml:space="preserve"> Commission of Human Rights, 35th session, item 10 of provisional agenda, Summary prepared by the Secretary-General in accordance with Commission resolution 18 (XXXIV), UN Doc. E/CN.4/1314, 19 December 1978, para. 29</w:t>
      </w:r>
      <w:r w:rsidR="006C6B06">
        <w:rPr>
          <w:rFonts w:ascii="Times New Roman" w:hAnsi="Times New Roman" w:cs="Times New Roman"/>
        </w:rPr>
        <w:t>.</w:t>
      </w:r>
    </w:p>
  </w:footnote>
  <w:footnote w:id="44">
    <w:p w14:paraId="73D21530" w14:textId="1AC2CB53" w:rsidR="003A1E50" w:rsidRPr="001D69D0" w:rsidRDefault="003A1E50">
      <w:pPr>
        <w:pStyle w:val="FootnoteText"/>
        <w:rPr>
          <w:rFonts w:ascii="Times New Roman" w:hAnsi="Times New Roman" w:cs="Times New Roman"/>
          <w:lang w:val="en-CA"/>
        </w:rPr>
      </w:pPr>
      <w:r w:rsidRPr="001D69D0">
        <w:rPr>
          <w:rStyle w:val="FootnoteReference"/>
          <w:rFonts w:ascii="Times New Roman" w:hAnsi="Times New Roman" w:cs="Times New Roman"/>
        </w:rPr>
        <w:footnoteRef/>
      </w:r>
      <w:r w:rsidRPr="001D69D0">
        <w:rPr>
          <w:rFonts w:ascii="Times New Roman" w:hAnsi="Times New Roman" w:cs="Times New Roman"/>
        </w:rPr>
        <w:t xml:space="preserve"> </w:t>
      </w:r>
      <w:proofErr w:type="gramStart"/>
      <w:r w:rsidRPr="001D69D0">
        <w:rPr>
          <w:rFonts w:ascii="Times New Roman" w:hAnsi="Times New Roman" w:cs="Times New Roman"/>
          <w:lang w:val="en-CA"/>
        </w:rPr>
        <w:t>Canada’s Submission,</w:t>
      </w:r>
      <w:proofErr w:type="gramEnd"/>
      <w:r w:rsidRPr="001D69D0">
        <w:rPr>
          <w:rFonts w:ascii="Times New Roman" w:hAnsi="Times New Roman" w:cs="Times New Roman"/>
          <w:lang w:val="en-CA"/>
        </w:rPr>
        <w:t xml:space="preserve"> </w:t>
      </w:r>
      <w:r w:rsidRPr="001D69D0">
        <w:rPr>
          <w:rFonts w:ascii="Times New Roman" w:hAnsi="Times New Roman" w:cs="Times New Roman"/>
          <w:i/>
          <w:lang w:val="en-CA"/>
        </w:rPr>
        <w:t xml:space="preserve">supra </w:t>
      </w:r>
      <w:r w:rsidRPr="001D69D0">
        <w:rPr>
          <w:rFonts w:ascii="Times New Roman" w:hAnsi="Times New Roman" w:cs="Times New Roman"/>
          <w:lang w:val="en-CA"/>
        </w:rPr>
        <w:t xml:space="preserve">note </w:t>
      </w:r>
      <w:r w:rsidRPr="001D69D0">
        <w:rPr>
          <w:rFonts w:ascii="Times New Roman" w:hAnsi="Times New Roman" w:cs="Times New Roman"/>
          <w:lang w:val="en-CA"/>
        </w:rPr>
        <w:fldChar w:fldCharType="begin"/>
      </w:r>
      <w:r w:rsidRPr="001D69D0">
        <w:rPr>
          <w:rFonts w:ascii="Times New Roman" w:hAnsi="Times New Roman" w:cs="Times New Roman"/>
          <w:lang w:val="en-CA"/>
        </w:rPr>
        <w:instrText xml:space="preserve"> NOTEREF _Ref530427640 \h </w:instrText>
      </w:r>
      <w:r w:rsidR="002C477A" w:rsidRPr="001D69D0">
        <w:rPr>
          <w:rFonts w:ascii="Times New Roman" w:hAnsi="Times New Roman" w:cs="Times New Roman"/>
          <w:lang w:val="en-CA"/>
        </w:rPr>
        <w:instrText xml:space="preserve"> \* MERGEFORMAT </w:instrText>
      </w:r>
      <w:r w:rsidRPr="001D69D0">
        <w:rPr>
          <w:rFonts w:ascii="Times New Roman" w:hAnsi="Times New Roman" w:cs="Times New Roman"/>
          <w:lang w:val="en-CA"/>
        </w:rPr>
      </w:r>
      <w:r w:rsidRPr="001D69D0">
        <w:rPr>
          <w:rFonts w:ascii="Times New Roman" w:hAnsi="Times New Roman" w:cs="Times New Roman"/>
          <w:lang w:val="en-CA"/>
        </w:rPr>
        <w:fldChar w:fldCharType="separate"/>
      </w:r>
      <w:r w:rsidR="002C477A" w:rsidRPr="001D69D0">
        <w:rPr>
          <w:rFonts w:ascii="Times New Roman" w:hAnsi="Times New Roman" w:cs="Times New Roman"/>
          <w:lang w:val="en-CA"/>
        </w:rPr>
        <w:t>2</w:t>
      </w:r>
      <w:r w:rsidRPr="001D69D0">
        <w:rPr>
          <w:rFonts w:ascii="Times New Roman" w:hAnsi="Times New Roman" w:cs="Times New Roman"/>
          <w:lang w:val="en-CA"/>
        </w:rPr>
        <w:fldChar w:fldCharType="end"/>
      </w:r>
      <w:r w:rsidRPr="001D69D0">
        <w:rPr>
          <w:rFonts w:ascii="Times New Roman" w:hAnsi="Times New Roman" w:cs="Times New Roman"/>
          <w:lang w:val="en-CA"/>
        </w:rPr>
        <w:t>, para 56.</w:t>
      </w:r>
    </w:p>
  </w:footnote>
  <w:footnote w:id="45">
    <w:p w14:paraId="51896DB8" w14:textId="3DFEEE78" w:rsidR="00EE493E" w:rsidRPr="001D69D0" w:rsidRDefault="00EE493E">
      <w:pPr>
        <w:pStyle w:val="FootnoteText"/>
        <w:rPr>
          <w:rFonts w:ascii="Times New Roman" w:hAnsi="Times New Roman" w:cs="Times New Roman"/>
          <w:lang w:val="en-CA"/>
        </w:rPr>
      </w:pPr>
      <w:r w:rsidRPr="001D69D0">
        <w:rPr>
          <w:rStyle w:val="FootnoteReference"/>
          <w:rFonts w:ascii="Times New Roman" w:hAnsi="Times New Roman" w:cs="Times New Roman"/>
        </w:rPr>
        <w:footnoteRef/>
      </w:r>
      <w:r w:rsidRPr="001D69D0">
        <w:rPr>
          <w:rFonts w:ascii="Times New Roman" w:hAnsi="Times New Roman" w:cs="Times New Roman"/>
        </w:rPr>
        <w:t xml:space="preserve"> </w:t>
      </w:r>
      <w:r w:rsidR="006D041C" w:rsidRPr="001D69D0">
        <w:rPr>
          <w:rFonts w:ascii="Times New Roman" w:hAnsi="Times New Roman" w:cs="Times New Roman"/>
        </w:rPr>
        <w:t xml:space="preserve">For more information on the National Inquiry, see the website: National Inquiry into Missing and Murdered Indigenous Women and Girls, online: </w:t>
      </w:r>
      <w:hyperlink r:id="rId30" w:history="1">
        <w:r w:rsidR="006D041C" w:rsidRPr="001D69D0">
          <w:rPr>
            <w:rStyle w:val="Hyperlink"/>
            <w:rFonts w:ascii="Times New Roman" w:hAnsi="Times New Roman" w:cs="Times New Roman"/>
          </w:rPr>
          <w:t>http://www.mmiwg-ffada.ca/</w:t>
        </w:r>
      </w:hyperlink>
      <w:r w:rsidR="006D041C" w:rsidRPr="001D69D0">
        <w:rPr>
          <w:rFonts w:ascii="Times New Roman" w:hAnsi="Times New Roman" w:cs="Times New Roman"/>
        </w:rPr>
        <w:t xml:space="preserve">. </w:t>
      </w:r>
    </w:p>
  </w:footnote>
  <w:footnote w:id="46">
    <w:p w14:paraId="33A5E7E2" w14:textId="780F37B9" w:rsidR="006D041C" w:rsidRPr="001D69D0" w:rsidRDefault="006D041C">
      <w:pPr>
        <w:pStyle w:val="FootnoteText"/>
        <w:rPr>
          <w:rFonts w:ascii="Times New Roman" w:hAnsi="Times New Roman" w:cs="Times New Roman"/>
          <w:lang w:val="en-CA"/>
        </w:rPr>
      </w:pPr>
      <w:r w:rsidRPr="001D69D0">
        <w:rPr>
          <w:rStyle w:val="FootnoteReference"/>
          <w:rFonts w:ascii="Times New Roman" w:hAnsi="Times New Roman" w:cs="Times New Roman"/>
        </w:rPr>
        <w:footnoteRef/>
      </w:r>
      <w:r w:rsidRPr="001D69D0">
        <w:rPr>
          <w:rFonts w:ascii="Times New Roman" w:hAnsi="Times New Roman" w:cs="Times New Roman"/>
        </w:rPr>
        <w:t xml:space="preserve"> Crown-Indigenous Relations and Northern Affairs, “Background on the inquiry” (22 April 2016), </w:t>
      </w:r>
      <w:r w:rsidRPr="001D69D0">
        <w:rPr>
          <w:rFonts w:ascii="Times New Roman" w:hAnsi="Times New Roman" w:cs="Times New Roman"/>
          <w:i/>
        </w:rPr>
        <w:t>Government of Canada</w:t>
      </w:r>
      <w:r w:rsidRPr="001D69D0">
        <w:rPr>
          <w:rFonts w:ascii="Times New Roman" w:hAnsi="Times New Roman" w:cs="Times New Roman"/>
        </w:rPr>
        <w:t xml:space="preserve">, online: </w:t>
      </w:r>
      <w:hyperlink r:id="rId31" w:history="1">
        <w:r w:rsidRPr="001D69D0">
          <w:rPr>
            <w:rStyle w:val="Hyperlink"/>
            <w:rFonts w:ascii="Times New Roman" w:hAnsi="Times New Roman" w:cs="Times New Roman"/>
          </w:rPr>
          <w:t>https://www.rcaanc-cirnac.gc.ca/eng/1449240606362/1534528865114</w:t>
        </w:r>
      </w:hyperlink>
      <w:r w:rsidRPr="001D69D0">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4587B"/>
    <w:multiLevelType w:val="hybridMultilevel"/>
    <w:tmpl w:val="022EE3DA"/>
    <w:lvl w:ilvl="0" w:tplc="C8A02122">
      <w:start w:val="1"/>
      <w:numFmt w:val="decimal"/>
      <w:lvlText w:val="%1."/>
      <w:lvlJc w:val="left"/>
      <w:pPr>
        <w:ind w:left="360" w:hanging="360"/>
      </w:pPr>
      <w:rPr>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6B7FAD"/>
    <w:multiLevelType w:val="hybridMultilevel"/>
    <w:tmpl w:val="472A85B6"/>
    <w:lvl w:ilvl="0" w:tplc="32020808">
      <w:start w:val="1"/>
      <w:numFmt w:val="decimal"/>
      <w:pStyle w:val="Styl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524B5"/>
    <w:multiLevelType w:val="hybridMultilevel"/>
    <w:tmpl w:val="C834115E"/>
    <w:lvl w:ilvl="0" w:tplc="BD04DB96">
      <w:start w:val="1"/>
      <w:numFmt w:val="upperLetter"/>
      <w:pStyle w:val="Style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3251F4"/>
    <w:multiLevelType w:val="hybridMultilevel"/>
    <w:tmpl w:val="F9D87BDE"/>
    <w:lvl w:ilvl="0" w:tplc="99D4C3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69"/>
    <w:rsid w:val="0000563C"/>
    <w:rsid w:val="00032A47"/>
    <w:rsid w:val="00045745"/>
    <w:rsid w:val="00047F9A"/>
    <w:rsid w:val="00050420"/>
    <w:rsid w:val="00052473"/>
    <w:rsid w:val="00056CB6"/>
    <w:rsid w:val="00073DF1"/>
    <w:rsid w:val="00080576"/>
    <w:rsid w:val="00085552"/>
    <w:rsid w:val="000A0CAF"/>
    <w:rsid w:val="000C1BDC"/>
    <w:rsid w:val="000C3C89"/>
    <w:rsid w:val="000C57DD"/>
    <w:rsid w:val="000D3DFA"/>
    <w:rsid w:val="000E6D11"/>
    <w:rsid w:val="000E74BC"/>
    <w:rsid w:val="000F4B69"/>
    <w:rsid w:val="000F79E4"/>
    <w:rsid w:val="001023DE"/>
    <w:rsid w:val="00116C2A"/>
    <w:rsid w:val="00127DD9"/>
    <w:rsid w:val="001330B3"/>
    <w:rsid w:val="00133647"/>
    <w:rsid w:val="001344B3"/>
    <w:rsid w:val="00143E67"/>
    <w:rsid w:val="00152861"/>
    <w:rsid w:val="00154803"/>
    <w:rsid w:val="00164339"/>
    <w:rsid w:val="00173A64"/>
    <w:rsid w:val="001837EE"/>
    <w:rsid w:val="0018487B"/>
    <w:rsid w:val="0018508E"/>
    <w:rsid w:val="00186534"/>
    <w:rsid w:val="00186FC8"/>
    <w:rsid w:val="00192AA5"/>
    <w:rsid w:val="001A1618"/>
    <w:rsid w:val="001A1C4E"/>
    <w:rsid w:val="001D03EE"/>
    <w:rsid w:val="001D0C83"/>
    <w:rsid w:val="001D3130"/>
    <w:rsid w:val="001D456C"/>
    <w:rsid w:val="001D69D0"/>
    <w:rsid w:val="0020495D"/>
    <w:rsid w:val="0021031F"/>
    <w:rsid w:val="0021128B"/>
    <w:rsid w:val="00213666"/>
    <w:rsid w:val="00225C84"/>
    <w:rsid w:val="00226D5D"/>
    <w:rsid w:val="00256090"/>
    <w:rsid w:val="00257FAB"/>
    <w:rsid w:val="002867DB"/>
    <w:rsid w:val="00293958"/>
    <w:rsid w:val="0029537B"/>
    <w:rsid w:val="002B6FD4"/>
    <w:rsid w:val="002C1D02"/>
    <w:rsid w:val="002C477A"/>
    <w:rsid w:val="002E10F9"/>
    <w:rsid w:val="002E6BAE"/>
    <w:rsid w:val="002F43A2"/>
    <w:rsid w:val="002F4AC8"/>
    <w:rsid w:val="002F59DB"/>
    <w:rsid w:val="002F769C"/>
    <w:rsid w:val="002F7B6B"/>
    <w:rsid w:val="00313EB3"/>
    <w:rsid w:val="0031787E"/>
    <w:rsid w:val="00324764"/>
    <w:rsid w:val="00344BEC"/>
    <w:rsid w:val="00386AD4"/>
    <w:rsid w:val="003872B4"/>
    <w:rsid w:val="00391310"/>
    <w:rsid w:val="0039190C"/>
    <w:rsid w:val="00396CDA"/>
    <w:rsid w:val="003A0633"/>
    <w:rsid w:val="003A1658"/>
    <w:rsid w:val="003A1E50"/>
    <w:rsid w:val="003A2F29"/>
    <w:rsid w:val="003A351B"/>
    <w:rsid w:val="003C02F7"/>
    <w:rsid w:val="003C3931"/>
    <w:rsid w:val="003D1356"/>
    <w:rsid w:val="003D6CFD"/>
    <w:rsid w:val="003E7D7A"/>
    <w:rsid w:val="00405051"/>
    <w:rsid w:val="00413CD0"/>
    <w:rsid w:val="00417675"/>
    <w:rsid w:val="00424CE6"/>
    <w:rsid w:val="00426B75"/>
    <w:rsid w:val="004501EB"/>
    <w:rsid w:val="00451D8A"/>
    <w:rsid w:val="00462700"/>
    <w:rsid w:val="00475BFA"/>
    <w:rsid w:val="00476DF9"/>
    <w:rsid w:val="00476FCA"/>
    <w:rsid w:val="004A32C1"/>
    <w:rsid w:val="004A7C93"/>
    <w:rsid w:val="004B3C83"/>
    <w:rsid w:val="004B63B8"/>
    <w:rsid w:val="004C14D3"/>
    <w:rsid w:val="0050586B"/>
    <w:rsid w:val="00506EF3"/>
    <w:rsid w:val="00507958"/>
    <w:rsid w:val="00531F87"/>
    <w:rsid w:val="005502D3"/>
    <w:rsid w:val="005664C2"/>
    <w:rsid w:val="00570F26"/>
    <w:rsid w:val="0057290B"/>
    <w:rsid w:val="00575FEE"/>
    <w:rsid w:val="00580625"/>
    <w:rsid w:val="00597DA1"/>
    <w:rsid w:val="00597F6B"/>
    <w:rsid w:val="005A28A1"/>
    <w:rsid w:val="005A2FA4"/>
    <w:rsid w:val="005A4154"/>
    <w:rsid w:val="005A6F20"/>
    <w:rsid w:val="005D0CCC"/>
    <w:rsid w:val="005F3922"/>
    <w:rsid w:val="00606123"/>
    <w:rsid w:val="006077A3"/>
    <w:rsid w:val="00626448"/>
    <w:rsid w:val="00633E75"/>
    <w:rsid w:val="00642574"/>
    <w:rsid w:val="006428EC"/>
    <w:rsid w:val="00653E9A"/>
    <w:rsid w:val="00655F36"/>
    <w:rsid w:val="0066083D"/>
    <w:rsid w:val="00666104"/>
    <w:rsid w:val="00666869"/>
    <w:rsid w:val="006735E0"/>
    <w:rsid w:val="006738F9"/>
    <w:rsid w:val="00674B3B"/>
    <w:rsid w:val="00675938"/>
    <w:rsid w:val="00675F63"/>
    <w:rsid w:val="006A3699"/>
    <w:rsid w:val="006B1D2F"/>
    <w:rsid w:val="006B3CE0"/>
    <w:rsid w:val="006C6B06"/>
    <w:rsid w:val="006D041C"/>
    <w:rsid w:val="006E383B"/>
    <w:rsid w:val="00704914"/>
    <w:rsid w:val="00721A94"/>
    <w:rsid w:val="00732792"/>
    <w:rsid w:val="007337AE"/>
    <w:rsid w:val="007359DE"/>
    <w:rsid w:val="007364B5"/>
    <w:rsid w:val="00745354"/>
    <w:rsid w:val="00745FB9"/>
    <w:rsid w:val="0074685A"/>
    <w:rsid w:val="007721F6"/>
    <w:rsid w:val="00781681"/>
    <w:rsid w:val="00785211"/>
    <w:rsid w:val="007866F9"/>
    <w:rsid w:val="007933D4"/>
    <w:rsid w:val="007B3299"/>
    <w:rsid w:val="007D2C19"/>
    <w:rsid w:val="007E5DA0"/>
    <w:rsid w:val="007F0896"/>
    <w:rsid w:val="00802771"/>
    <w:rsid w:val="00810FC4"/>
    <w:rsid w:val="00816A81"/>
    <w:rsid w:val="0082229A"/>
    <w:rsid w:val="00823A46"/>
    <w:rsid w:val="0082419C"/>
    <w:rsid w:val="00847A36"/>
    <w:rsid w:val="008506E0"/>
    <w:rsid w:val="0086312A"/>
    <w:rsid w:val="008718E1"/>
    <w:rsid w:val="00873825"/>
    <w:rsid w:val="0087638E"/>
    <w:rsid w:val="00877270"/>
    <w:rsid w:val="008928FA"/>
    <w:rsid w:val="00892CEA"/>
    <w:rsid w:val="00897B9C"/>
    <w:rsid w:val="008B209B"/>
    <w:rsid w:val="008C107B"/>
    <w:rsid w:val="008D5B30"/>
    <w:rsid w:val="008E0384"/>
    <w:rsid w:val="008E0BAB"/>
    <w:rsid w:val="008E521E"/>
    <w:rsid w:val="008E5CFA"/>
    <w:rsid w:val="008F5601"/>
    <w:rsid w:val="00900DFB"/>
    <w:rsid w:val="00910845"/>
    <w:rsid w:val="00911FC4"/>
    <w:rsid w:val="009141BD"/>
    <w:rsid w:val="00917D45"/>
    <w:rsid w:val="009229BF"/>
    <w:rsid w:val="00922FFC"/>
    <w:rsid w:val="009234D9"/>
    <w:rsid w:val="00924613"/>
    <w:rsid w:val="00931110"/>
    <w:rsid w:val="009311E0"/>
    <w:rsid w:val="00940C21"/>
    <w:rsid w:val="00942290"/>
    <w:rsid w:val="00946C2E"/>
    <w:rsid w:val="00952F48"/>
    <w:rsid w:val="009532CE"/>
    <w:rsid w:val="00983331"/>
    <w:rsid w:val="0099574F"/>
    <w:rsid w:val="00996B83"/>
    <w:rsid w:val="009A2C6E"/>
    <w:rsid w:val="009A4B93"/>
    <w:rsid w:val="009B4B46"/>
    <w:rsid w:val="009E58D8"/>
    <w:rsid w:val="009E5C55"/>
    <w:rsid w:val="009F1781"/>
    <w:rsid w:val="009F1F3A"/>
    <w:rsid w:val="00A3148A"/>
    <w:rsid w:val="00A418C4"/>
    <w:rsid w:val="00A41AB4"/>
    <w:rsid w:val="00A50D27"/>
    <w:rsid w:val="00A512F1"/>
    <w:rsid w:val="00A51D0B"/>
    <w:rsid w:val="00A55350"/>
    <w:rsid w:val="00A55771"/>
    <w:rsid w:val="00A65932"/>
    <w:rsid w:val="00A71B1E"/>
    <w:rsid w:val="00A73648"/>
    <w:rsid w:val="00A8407A"/>
    <w:rsid w:val="00A85BA5"/>
    <w:rsid w:val="00A93B1B"/>
    <w:rsid w:val="00A94DBB"/>
    <w:rsid w:val="00A94EEB"/>
    <w:rsid w:val="00AA3792"/>
    <w:rsid w:val="00AB40FD"/>
    <w:rsid w:val="00AC0155"/>
    <w:rsid w:val="00AC17A4"/>
    <w:rsid w:val="00AE76AF"/>
    <w:rsid w:val="00B10D97"/>
    <w:rsid w:val="00B1446D"/>
    <w:rsid w:val="00B156F0"/>
    <w:rsid w:val="00B32B76"/>
    <w:rsid w:val="00B41ADC"/>
    <w:rsid w:val="00B450C8"/>
    <w:rsid w:val="00B50DB3"/>
    <w:rsid w:val="00B8593B"/>
    <w:rsid w:val="00B9092A"/>
    <w:rsid w:val="00BB23B2"/>
    <w:rsid w:val="00BB31DF"/>
    <w:rsid w:val="00BB5519"/>
    <w:rsid w:val="00BC606D"/>
    <w:rsid w:val="00BC7F7C"/>
    <w:rsid w:val="00BD0669"/>
    <w:rsid w:val="00BD0712"/>
    <w:rsid w:val="00BF0809"/>
    <w:rsid w:val="00BF2B5F"/>
    <w:rsid w:val="00BF6A92"/>
    <w:rsid w:val="00C00CFE"/>
    <w:rsid w:val="00C017E5"/>
    <w:rsid w:val="00C124F2"/>
    <w:rsid w:val="00C13D2B"/>
    <w:rsid w:val="00C27E23"/>
    <w:rsid w:val="00C33C07"/>
    <w:rsid w:val="00C40135"/>
    <w:rsid w:val="00C41958"/>
    <w:rsid w:val="00C43C79"/>
    <w:rsid w:val="00C536B0"/>
    <w:rsid w:val="00C57CBE"/>
    <w:rsid w:val="00C64EE6"/>
    <w:rsid w:val="00C6613D"/>
    <w:rsid w:val="00C700BA"/>
    <w:rsid w:val="00C70D32"/>
    <w:rsid w:val="00C73C8C"/>
    <w:rsid w:val="00C8039B"/>
    <w:rsid w:val="00C80CB6"/>
    <w:rsid w:val="00CA4AB3"/>
    <w:rsid w:val="00CB591B"/>
    <w:rsid w:val="00CB62EB"/>
    <w:rsid w:val="00CB75EB"/>
    <w:rsid w:val="00CC38BF"/>
    <w:rsid w:val="00CC6D09"/>
    <w:rsid w:val="00CD466E"/>
    <w:rsid w:val="00CE4D97"/>
    <w:rsid w:val="00CE7AEA"/>
    <w:rsid w:val="00CF292E"/>
    <w:rsid w:val="00CF4179"/>
    <w:rsid w:val="00CF74BA"/>
    <w:rsid w:val="00D02AD7"/>
    <w:rsid w:val="00D15F2F"/>
    <w:rsid w:val="00D2613B"/>
    <w:rsid w:val="00D309A7"/>
    <w:rsid w:val="00D31DB3"/>
    <w:rsid w:val="00D33840"/>
    <w:rsid w:val="00D34627"/>
    <w:rsid w:val="00D55127"/>
    <w:rsid w:val="00D5706E"/>
    <w:rsid w:val="00D577B8"/>
    <w:rsid w:val="00D6205E"/>
    <w:rsid w:val="00D67833"/>
    <w:rsid w:val="00D70B03"/>
    <w:rsid w:val="00D71471"/>
    <w:rsid w:val="00D747C0"/>
    <w:rsid w:val="00D755A1"/>
    <w:rsid w:val="00D7777D"/>
    <w:rsid w:val="00D82B38"/>
    <w:rsid w:val="00D85C79"/>
    <w:rsid w:val="00D922D9"/>
    <w:rsid w:val="00D972E6"/>
    <w:rsid w:val="00DA1D6B"/>
    <w:rsid w:val="00DA6AD5"/>
    <w:rsid w:val="00DB01AD"/>
    <w:rsid w:val="00DC1919"/>
    <w:rsid w:val="00DC1DB5"/>
    <w:rsid w:val="00DC6663"/>
    <w:rsid w:val="00DD00A4"/>
    <w:rsid w:val="00DD774E"/>
    <w:rsid w:val="00DE016F"/>
    <w:rsid w:val="00DE32F1"/>
    <w:rsid w:val="00DE555A"/>
    <w:rsid w:val="00DF1FAC"/>
    <w:rsid w:val="00DF2C57"/>
    <w:rsid w:val="00DF3878"/>
    <w:rsid w:val="00DF6A58"/>
    <w:rsid w:val="00E05092"/>
    <w:rsid w:val="00E16617"/>
    <w:rsid w:val="00E212BD"/>
    <w:rsid w:val="00E25312"/>
    <w:rsid w:val="00E309C7"/>
    <w:rsid w:val="00E3346D"/>
    <w:rsid w:val="00E42942"/>
    <w:rsid w:val="00E446B7"/>
    <w:rsid w:val="00E44FAF"/>
    <w:rsid w:val="00E56CBC"/>
    <w:rsid w:val="00E6120C"/>
    <w:rsid w:val="00E66B26"/>
    <w:rsid w:val="00E7237D"/>
    <w:rsid w:val="00E7292A"/>
    <w:rsid w:val="00E762EA"/>
    <w:rsid w:val="00E83EF1"/>
    <w:rsid w:val="00E87589"/>
    <w:rsid w:val="00EB62A2"/>
    <w:rsid w:val="00EC6472"/>
    <w:rsid w:val="00ED07C1"/>
    <w:rsid w:val="00ED1793"/>
    <w:rsid w:val="00ED2572"/>
    <w:rsid w:val="00ED2B3C"/>
    <w:rsid w:val="00EE493E"/>
    <w:rsid w:val="00EF48A2"/>
    <w:rsid w:val="00EF7C61"/>
    <w:rsid w:val="00F14391"/>
    <w:rsid w:val="00F3308E"/>
    <w:rsid w:val="00F42462"/>
    <w:rsid w:val="00F6587B"/>
    <w:rsid w:val="00F65EE4"/>
    <w:rsid w:val="00F72D87"/>
    <w:rsid w:val="00F858F6"/>
    <w:rsid w:val="00F87A7D"/>
    <w:rsid w:val="00F925B2"/>
    <w:rsid w:val="00F9415B"/>
    <w:rsid w:val="00F94171"/>
    <w:rsid w:val="00FA01A2"/>
    <w:rsid w:val="00FA3E33"/>
    <w:rsid w:val="00FB1F2E"/>
    <w:rsid w:val="00FB58ED"/>
    <w:rsid w:val="00FB5D6C"/>
    <w:rsid w:val="00FD0FB4"/>
    <w:rsid w:val="00FD1BCC"/>
    <w:rsid w:val="00FD5AEB"/>
    <w:rsid w:val="00FF5C90"/>
    <w:rsid w:val="00FF76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FA07"/>
  <w14:defaultImageDpi w14:val="32767"/>
  <w15:chartTrackingRefBased/>
  <w15:docId w15:val="{735A1321-5EDE-F544-A452-3D32BC50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7F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97F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97F6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97F6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866F9"/>
    <w:rPr>
      <w:sz w:val="20"/>
      <w:szCs w:val="20"/>
    </w:rPr>
  </w:style>
  <w:style w:type="character" w:customStyle="1" w:styleId="FootnoteTextChar">
    <w:name w:val="Footnote Text Char"/>
    <w:basedOn w:val="DefaultParagraphFont"/>
    <w:link w:val="FootnoteText"/>
    <w:uiPriority w:val="99"/>
    <w:rsid w:val="007866F9"/>
    <w:rPr>
      <w:sz w:val="20"/>
      <w:szCs w:val="20"/>
    </w:rPr>
  </w:style>
  <w:style w:type="character" w:styleId="FootnoteReference">
    <w:name w:val="footnote reference"/>
    <w:basedOn w:val="DefaultParagraphFont"/>
    <w:uiPriority w:val="99"/>
    <w:unhideWhenUsed/>
    <w:rsid w:val="007866F9"/>
    <w:rPr>
      <w:vertAlign w:val="superscript"/>
    </w:rPr>
  </w:style>
  <w:style w:type="paragraph" w:styleId="ListParagraph">
    <w:name w:val="List Paragraph"/>
    <w:basedOn w:val="Normal"/>
    <w:uiPriority w:val="34"/>
    <w:qFormat/>
    <w:rsid w:val="00633E75"/>
    <w:pPr>
      <w:ind w:left="720"/>
      <w:contextualSpacing/>
    </w:pPr>
  </w:style>
  <w:style w:type="paragraph" w:styleId="NormalWeb">
    <w:name w:val="Normal (Web)"/>
    <w:basedOn w:val="Normal"/>
    <w:uiPriority w:val="99"/>
    <w:semiHidden/>
    <w:unhideWhenUsed/>
    <w:rsid w:val="00032A47"/>
    <w:rPr>
      <w:rFonts w:ascii="Times New Roman" w:hAnsi="Times New Roman" w:cs="Times New Roman"/>
    </w:rPr>
  </w:style>
  <w:style w:type="character" w:styleId="Hyperlink">
    <w:name w:val="Hyperlink"/>
    <w:basedOn w:val="DefaultParagraphFont"/>
    <w:uiPriority w:val="99"/>
    <w:unhideWhenUsed/>
    <w:rsid w:val="009F1F3A"/>
    <w:rPr>
      <w:color w:val="0563C1" w:themeColor="hyperlink"/>
      <w:u w:val="single"/>
    </w:rPr>
  </w:style>
  <w:style w:type="character" w:customStyle="1" w:styleId="UnresolvedMention1">
    <w:name w:val="Unresolved Mention1"/>
    <w:basedOn w:val="DefaultParagraphFont"/>
    <w:uiPriority w:val="99"/>
    <w:rsid w:val="009F1F3A"/>
    <w:rPr>
      <w:color w:val="605E5C"/>
      <w:shd w:val="clear" w:color="auto" w:fill="E1DFDD"/>
    </w:rPr>
  </w:style>
  <w:style w:type="paragraph" w:styleId="Header">
    <w:name w:val="header"/>
    <w:basedOn w:val="Normal"/>
    <w:link w:val="HeaderChar"/>
    <w:uiPriority w:val="99"/>
    <w:unhideWhenUsed/>
    <w:rsid w:val="00C43C79"/>
    <w:pPr>
      <w:tabs>
        <w:tab w:val="center" w:pos="4680"/>
        <w:tab w:val="right" w:pos="9360"/>
      </w:tabs>
    </w:pPr>
  </w:style>
  <w:style w:type="character" w:customStyle="1" w:styleId="HeaderChar">
    <w:name w:val="Header Char"/>
    <w:basedOn w:val="DefaultParagraphFont"/>
    <w:link w:val="Header"/>
    <w:uiPriority w:val="99"/>
    <w:rsid w:val="00C43C79"/>
  </w:style>
  <w:style w:type="paragraph" w:styleId="Footer">
    <w:name w:val="footer"/>
    <w:basedOn w:val="Normal"/>
    <w:link w:val="FooterChar"/>
    <w:uiPriority w:val="99"/>
    <w:unhideWhenUsed/>
    <w:rsid w:val="00C43C79"/>
    <w:pPr>
      <w:tabs>
        <w:tab w:val="center" w:pos="4680"/>
        <w:tab w:val="right" w:pos="9360"/>
      </w:tabs>
    </w:pPr>
  </w:style>
  <w:style w:type="character" w:customStyle="1" w:styleId="FooterChar">
    <w:name w:val="Footer Char"/>
    <w:basedOn w:val="DefaultParagraphFont"/>
    <w:link w:val="Footer"/>
    <w:uiPriority w:val="99"/>
    <w:rsid w:val="00C43C79"/>
  </w:style>
  <w:style w:type="character" w:styleId="PageNumber">
    <w:name w:val="page number"/>
    <w:basedOn w:val="DefaultParagraphFont"/>
    <w:uiPriority w:val="99"/>
    <w:semiHidden/>
    <w:unhideWhenUsed/>
    <w:rsid w:val="008E5CFA"/>
  </w:style>
  <w:style w:type="character" w:styleId="CommentReference">
    <w:name w:val="annotation reference"/>
    <w:basedOn w:val="DefaultParagraphFont"/>
    <w:uiPriority w:val="99"/>
    <w:semiHidden/>
    <w:unhideWhenUsed/>
    <w:rsid w:val="0050586B"/>
    <w:rPr>
      <w:sz w:val="16"/>
      <w:szCs w:val="16"/>
    </w:rPr>
  </w:style>
  <w:style w:type="paragraph" w:styleId="CommentText">
    <w:name w:val="annotation text"/>
    <w:basedOn w:val="Normal"/>
    <w:link w:val="CommentTextChar"/>
    <w:uiPriority w:val="99"/>
    <w:unhideWhenUsed/>
    <w:rsid w:val="0050586B"/>
    <w:rPr>
      <w:sz w:val="20"/>
      <w:szCs w:val="20"/>
    </w:rPr>
  </w:style>
  <w:style w:type="character" w:customStyle="1" w:styleId="CommentTextChar">
    <w:name w:val="Comment Text Char"/>
    <w:basedOn w:val="DefaultParagraphFont"/>
    <w:link w:val="CommentText"/>
    <w:uiPriority w:val="99"/>
    <w:rsid w:val="0050586B"/>
    <w:rPr>
      <w:sz w:val="20"/>
      <w:szCs w:val="20"/>
    </w:rPr>
  </w:style>
  <w:style w:type="paragraph" w:styleId="CommentSubject">
    <w:name w:val="annotation subject"/>
    <w:basedOn w:val="CommentText"/>
    <w:next w:val="CommentText"/>
    <w:link w:val="CommentSubjectChar"/>
    <w:uiPriority w:val="99"/>
    <w:semiHidden/>
    <w:unhideWhenUsed/>
    <w:rsid w:val="0050586B"/>
    <w:rPr>
      <w:b/>
      <w:bCs/>
    </w:rPr>
  </w:style>
  <w:style w:type="character" w:customStyle="1" w:styleId="CommentSubjectChar">
    <w:name w:val="Comment Subject Char"/>
    <w:basedOn w:val="CommentTextChar"/>
    <w:link w:val="CommentSubject"/>
    <w:uiPriority w:val="99"/>
    <w:semiHidden/>
    <w:rsid w:val="0050586B"/>
    <w:rPr>
      <w:b/>
      <w:bCs/>
      <w:sz w:val="20"/>
      <w:szCs w:val="20"/>
    </w:rPr>
  </w:style>
  <w:style w:type="paragraph" w:styleId="BalloonText">
    <w:name w:val="Balloon Text"/>
    <w:basedOn w:val="Normal"/>
    <w:link w:val="BalloonTextChar"/>
    <w:uiPriority w:val="99"/>
    <w:semiHidden/>
    <w:unhideWhenUsed/>
    <w:rsid w:val="0050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6B"/>
    <w:rPr>
      <w:rFonts w:ascii="Segoe UI" w:hAnsi="Segoe UI" w:cs="Segoe UI"/>
      <w:sz w:val="18"/>
      <w:szCs w:val="18"/>
    </w:rPr>
  </w:style>
  <w:style w:type="character" w:styleId="FollowedHyperlink">
    <w:name w:val="FollowedHyperlink"/>
    <w:basedOn w:val="DefaultParagraphFont"/>
    <w:uiPriority w:val="99"/>
    <w:semiHidden/>
    <w:unhideWhenUsed/>
    <w:rsid w:val="00CC38BF"/>
    <w:rPr>
      <w:color w:val="954F72" w:themeColor="followedHyperlink"/>
      <w:u w:val="single"/>
    </w:rPr>
  </w:style>
  <w:style w:type="paragraph" w:customStyle="1" w:styleId="Style1">
    <w:name w:val="Style1"/>
    <w:basedOn w:val="Normal"/>
    <w:qFormat/>
    <w:rsid w:val="00B450C8"/>
    <w:pPr>
      <w:jc w:val="both"/>
    </w:pPr>
    <w:rPr>
      <w:rFonts w:ascii="Times New Roman" w:hAnsi="Times New Roman" w:cs="Times New Roman"/>
      <w:b/>
      <w:lang w:val="en-CA"/>
    </w:rPr>
  </w:style>
  <w:style w:type="paragraph" w:customStyle="1" w:styleId="Style2">
    <w:name w:val="Style2"/>
    <w:basedOn w:val="ListParagraph"/>
    <w:qFormat/>
    <w:rsid w:val="00B450C8"/>
    <w:pPr>
      <w:numPr>
        <w:numId w:val="1"/>
      </w:numPr>
      <w:jc w:val="both"/>
    </w:pPr>
    <w:rPr>
      <w:rFonts w:ascii="Times New Roman" w:hAnsi="Times New Roman" w:cs="Times New Roman"/>
      <w:i/>
      <w:lang w:val="en-CA"/>
    </w:rPr>
  </w:style>
  <w:style w:type="paragraph" w:customStyle="1" w:styleId="Style3">
    <w:name w:val="Style3"/>
    <w:basedOn w:val="Normal"/>
    <w:qFormat/>
    <w:rsid w:val="00597F6B"/>
    <w:pPr>
      <w:numPr>
        <w:numId w:val="4"/>
      </w:numPr>
      <w:jc w:val="both"/>
    </w:pPr>
    <w:rPr>
      <w:rFonts w:ascii="Times New Roman" w:hAnsi="Times New Roman" w:cs="Times New Roman"/>
      <w:u w:val="single"/>
      <w:lang w:val="en-CA"/>
    </w:rPr>
  </w:style>
  <w:style w:type="character" w:customStyle="1" w:styleId="Heading1Char">
    <w:name w:val="Heading 1 Char"/>
    <w:basedOn w:val="DefaultParagraphFont"/>
    <w:link w:val="Heading1"/>
    <w:uiPriority w:val="9"/>
    <w:rsid w:val="00597F6B"/>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597F6B"/>
    <w:pPr>
      <w:spacing w:before="360"/>
    </w:pPr>
    <w:rPr>
      <w:rFonts w:asciiTheme="majorHAnsi" w:hAnsiTheme="majorHAnsi" w:cstheme="majorHAnsi"/>
      <w:b/>
      <w:bCs/>
      <w:caps/>
    </w:rPr>
  </w:style>
  <w:style w:type="character" w:customStyle="1" w:styleId="Heading2Char">
    <w:name w:val="Heading 2 Char"/>
    <w:basedOn w:val="DefaultParagraphFont"/>
    <w:link w:val="Heading2"/>
    <w:uiPriority w:val="9"/>
    <w:semiHidden/>
    <w:rsid w:val="00597F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97F6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97F6B"/>
    <w:rPr>
      <w:rFonts w:asciiTheme="majorHAnsi" w:eastAsiaTheme="majorEastAsia" w:hAnsiTheme="majorHAnsi" w:cstheme="majorBidi"/>
      <w:i/>
      <w:iCs/>
      <w:color w:val="2F5496" w:themeColor="accent1" w:themeShade="BF"/>
    </w:rPr>
  </w:style>
  <w:style w:type="paragraph" w:styleId="TOC2">
    <w:name w:val="toc 2"/>
    <w:basedOn w:val="Normal"/>
    <w:next w:val="Normal"/>
    <w:autoRedefine/>
    <w:uiPriority w:val="39"/>
    <w:unhideWhenUsed/>
    <w:rsid w:val="00597F6B"/>
    <w:pPr>
      <w:spacing w:before="240"/>
    </w:pPr>
    <w:rPr>
      <w:rFonts w:cstheme="minorHAnsi"/>
      <w:b/>
      <w:bCs/>
      <w:sz w:val="20"/>
      <w:szCs w:val="20"/>
    </w:rPr>
  </w:style>
  <w:style w:type="paragraph" w:styleId="TOC3">
    <w:name w:val="toc 3"/>
    <w:basedOn w:val="Normal"/>
    <w:next w:val="Normal"/>
    <w:autoRedefine/>
    <w:uiPriority w:val="39"/>
    <w:unhideWhenUsed/>
    <w:rsid w:val="00597F6B"/>
    <w:pPr>
      <w:ind w:left="240"/>
    </w:pPr>
    <w:rPr>
      <w:rFonts w:cstheme="minorHAnsi"/>
      <w:sz w:val="20"/>
      <w:szCs w:val="20"/>
    </w:rPr>
  </w:style>
  <w:style w:type="paragraph" w:styleId="TOC4">
    <w:name w:val="toc 4"/>
    <w:basedOn w:val="Normal"/>
    <w:next w:val="Normal"/>
    <w:autoRedefine/>
    <w:uiPriority w:val="39"/>
    <w:unhideWhenUsed/>
    <w:rsid w:val="00597F6B"/>
    <w:pPr>
      <w:ind w:left="480"/>
    </w:pPr>
    <w:rPr>
      <w:rFonts w:cstheme="minorHAnsi"/>
      <w:sz w:val="20"/>
      <w:szCs w:val="20"/>
    </w:rPr>
  </w:style>
  <w:style w:type="paragraph" w:styleId="TOC5">
    <w:name w:val="toc 5"/>
    <w:basedOn w:val="Normal"/>
    <w:next w:val="Normal"/>
    <w:autoRedefine/>
    <w:uiPriority w:val="39"/>
    <w:unhideWhenUsed/>
    <w:rsid w:val="00597F6B"/>
    <w:pPr>
      <w:ind w:left="720"/>
    </w:pPr>
    <w:rPr>
      <w:rFonts w:cstheme="minorHAnsi"/>
      <w:sz w:val="20"/>
      <w:szCs w:val="20"/>
    </w:rPr>
  </w:style>
  <w:style w:type="paragraph" w:styleId="TOC6">
    <w:name w:val="toc 6"/>
    <w:basedOn w:val="Normal"/>
    <w:next w:val="Normal"/>
    <w:autoRedefine/>
    <w:uiPriority w:val="39"/>
    <w:unhideWhenUsed/>
    <w:rsid w:val="00597F6B"/>
    <w:pPr>
      <w:ind w:left="960"/>
    </w:pPr>
    <w:rPr>
      <w:rFonts w:cstheme="minorHAnsi"/>
      <w:sz w:val="20"/>
      <w:szCs w:val="20"/>
    </w:rPr>
  </w:style>
  <w:style w:type="paragraph" w:styleId="TOC7">
    <w:name w:val="toc 7"/>
    <w:basedOn w:val="Normal"/>
    <w:next w:val="Normal"/>
    <w:autoRedefine/>
    <w:uiPriority w:val="39"/>
    <w:unhideWhenUsed/>
    <w:rsid w:val="00597F6B"/>
    <w:pPr>
      <w:ind w:left="1200"/>
    </w:pPr>
    <w:rPr>
      <w:rFonts w:cstheme="minorHAnsi"/>
      <w:sz w:val="20"/>
      <w:szCs w:val="20"/>
    </w:rPr>
  </w:style>
  <w:style w:type="paragraph" w:styleId="TOC8">
    <w:name w:val="toc 8"/>
    <w:basedOn w:val="Normal"/>
    <w:next w:val="Normal"/>
    <w:autoRedefine/>
    <w:uiPriority w:val="39"/>
    <w:unhideWhenUsed/>
    <w:rsid w:val="00597F6B"/>
    <w:pPr>
      <w:ind w:left="1440"/>
    </w:pPr>
    <w:rPr>
      <w:rFonts w:cstheme="minorHAnsi"/>
      <w:sz w:val="20"/>
      <w:szCs w:val="20"/>
    </w:rPr>
  </w:style>
  <w:style w:type="paragraph" w:styleId="TOC9">
    <w:name w:val="toc 9"/>
    <w:basedOn w:val="Normal"/>
    <w:next w:val="Normal"/>
    <w:autoRedefine/>
    <w:uiPriority w:val="39"/>
    <w:unhideWhenUsed/>
    <w:rsid w:val="00597F6B"/>
    <w:pPr>
      <w:ind w:left="1680"/>
    </w:pPr>
    <w:rPr>
      <w:rFonts w:cstheme="minorHAnsi"/>
      <w:sz w:val="20"/>
      <w:szCs w:val="20"/>
    </w:rPr>
  </w:style>
  <w:style w:type="character" w:styleId="UnresolvedMention">
    <w:name w:val="Unresolved Mention"/>
    <w:basedOn w:val="DefaultParagraphFont"/>
    <w:uiPriority w:val="99"/>
    <w:semiHidden/>
    <w:unhideWhenUsed/>
    <w:rsid w:val="000C3C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4109">
      <w:bodyDiv w:val="1"/>
      <w:marLeft w:val="0"/>
      <w:marRight w:val="0"/>
      <w:marTop w:val="0"/>
      <w:marBottom w:val="0"/>
      <w:divBdr>
        <w:top w:val="none" w:sz="0" w:space="0" w:color="auto"/>
        <w:left w:val="none" w:sz="0" w:space="0" w:color="auto"/>
        <w:bottom w:val="none" w:sz="0" w:space="0" w:color="auto"/>
        <w:right w:val="none" w:sz="0" w:space="0" w:color="auto"/>
      </w:divBdr>
    </w:div>
    <w:div w:id="184944191">
      <w:bodyDiv w:val="1"/>
      <w:marLeft w:val="0"/>
      <w:marRight w:val="0"/>
      <w:marTop w:val="0"/>
      <w:marBottom w:val="0"/>
      <w:divBdr>
        <w:top w:val="none" w:sz="0" w:space="0" w:color="auto"/>
        <w:left w:val="none" w:sz="0" w:space="0" w:color="auto"/>
        <w:bottom w:val="none" w:sz="0" w:space="0" w:color="auto"/>
        <w:right w:val="none" w:sz="0" w:space="0" w:color="auto"/>
      </w:divBdr>
    </w:div>
    <w:div w:id="279536161">
      <w:bodyDiv w:val="1"/>
      <w:marLeft w:val="0"/>
      <w:marRight w:val="0"/>
      <w:marTop w:val="0"/>
      <w:marBottom w:val="0"/>
      <w:divBdr>
        <w:top w:val="none" w:sz="0" w:space="0" w:color="auto"/>
        <w:left w:val="none" w:sz="0" w:space="0" w:color="auto"/>
        <w:bottom w:val="none" w:sz="0" w:space="0" w:color="auto"/>
        <w:right w:val="none" w:sz="0" w:space="0" w:color="auto"/>
      </w:divBdr>
    </w:div>
    <w:div w:id="282813561">
      <w:bodyDiv w:val="1"/>
      <w:marLeft w:val="0"/>
      <w:marRight w:val="0"/>
      <w:marTop w:val="0"/>
      <w:marBottom w:val="0"/>
      <w:divBdr>
        <w:top w:val="none" w:sz="0" w:space="0" w:color="auto"/>
        <w:left w:val="none" w:sz="0" w:space="0" w:color="auto"/>
        <w:bottom w:val="none" w:sz="0" w:space="0" w:color="auto"/>
        <w:right w:val="none" w:sz="0" w:space="0" w:color="auto"/>
      </w:divBdr>
    </w:div>
    <w:div w:id="292827196">
      <w:bodyDiv w:val="1"/>
      <w:marLeft w:val="0"/>
      <w:marRight w:val="0"/>
      <w:marTop w:val="0"/>
      <w:marBottom w:val="0"/>
      <w:divBdr>
        <w:top w:val="none" w:sz="0" w:space="0" w:color="auto"/>
        <w:left w:val="none" w:sz="0" w:space="0" w:color="auto"/>
        <w:bottom w:val="none" w:sz="0" w:space="0" w:color="auto"/>
        <w:right w:val="none" w:sz="0" w:space="0" w:color="auto"/>
      </w:divBdr>
    </w:div>
    <w:div w:id="548805878">
      <w:bodyDiv w:val="1"/>
      <w:marLeft w:val="0"/>
      <w:marRight w:val="0"/>
      <w:marTop w:val="0"/>
      <w:marBottom w:val="0"/>
      <w:divBdr>
        <w:top w:val="none" w:sz="0" w:space="0" w:color="auto"/>
        <w:left w:val="none" w:sz="0" w:space="0" w:color="auto"/>
        <w:bottom w:val="none" w:sz="0" w:space="0" w:color="auto"/>
        <w:right w:val="none" w:sz="0" w:space="0" w:color="auto"/>
      </w:divBdr>
    </w:div>
    <w:div w:id="594752441">
      <w:bodyDiv w:val="1"/>
      <w:marLeft w:val="0"/>
      <w:marRight w:val="0"/>
      <w:marTop w:val="0"/>
      <w:marBottom w:val="0"/>
      <w:divBdr>
        <w:top w:val="none" w:sz="0" w:space="0" w:color="auto"/>
        <w:left w:val="none" w:sz="0" w:space="0" w:color="auto"/>
        <w:bottom w:val="none" w:sz="0" w:space="0" w:color="auto"/>
        <w:right w:val="none" w:sz="0" w:space="0" w:color="auto"/>
      </w:divBdr>
    </w:div>
    <w:div w:id="731150431">
      <w:bodyDiv w:val="1"/>
      <w:marLeft w:val="0"/>
      <w:marRight w:val="0"/>
      <w:marTop w:val="0"/>
      <w:marBottom w:val="0"/>
      <w:divBdr>
        <w:top w:val="none" w:sz="0" w:space="0" w:color="auto"/>
        <w:left w:val="none" w:sz="0" w:space="0" w:color="auto"/>
        <w:bottom w:val="none" w:sz="0" w:space="0" w:color="auto"/>
        <w:right w:val="none" w:sz="0" w:space="0" w:color="auto"/>
      </w:divBdr>
    </w:div>
    <w:div w:id="755631126">
      <w:bodyDiv w:val="1"/>
      <w:marLeft w:val="0"/>
      <w:marRight w:val="0"/>
      <w:marTop w:val="0"/>
      <w:marBottom w:val="0"/>
      <w:divBdr>
        <w:top w:val="none" w:sz="0" w:space="0" w:color="auto"/>
        <w:left w:val="none" w:sz="0" w:space="0" w:color="auto"/>
        <w:bottom w:val="none" w:sz="0" w:space="0" w:color="auto"/>
        <w:right w:val="none" w:sz="0" w:space="0" w:color="auto"/>
      </w:divBdr>
    </w:div>
    <w:div w:id="1051075323">
      <w:bodyDiv w:val="1"/>
      <w:marLeft w:val="0"/>
      <w:marRight w:val="0"/>
      <w:marTop w:val="0"/>
      <w:marBottom w:val="0"/>
      <w:divBdr>
        <w:top w:val="none" w:sz="0" w:space="0" w:color="auto"/>
        <w:left w:val="none" w:sz="0" w:space="0" w:color="auto"/>
        <w:bottom w:val="none" w:sz="0" w:space="0" w:color="auto"/>
        <w:right w:val="none" w:sz="0" w:space="0" w:color="auto"/>
      </w:divBdr>
    </w:div>
    <w:div w:id="1094545691">
      <w:bodyDiv w:val="1"/>
      <w:marLeft w:val="0"/>
      <w:marRight w:val="0"/>
      <w:marTop w:val="0"/>
      <w:marBottom w:val="0"/>
      <w:divBdr>
        <w:top w:val="none" w:sz="0" w:space="0" w:color="auto"/>
        <w:left w:val="none" w:sz="0" w:space="0" w:color="auto"/>
        <w:bottom w:val="none" w:sz="0" w:space="0" w:color="auto"/>
        <w:right w:val="none" w:sz="0" w:space="0" w:color="auto"/>
      </w:divBdr>
    </w:div>
    <w:div w:id="1205338132">
      <w:bodyDiv w:val="1"/>
      <w:marLeft w:val="0"/>
      <w:marRight w:val="0"/>
      <w:marTop w:val="0"/>
      <w:marBottom w:val="0"/>
      <w:divBdr>
        <w:top w:val="none" w:sz="0" w:space="0" w:color="auto"/>
        <w:left w:val="none" w:sz="0" w:space="0" w:color="auto"/>
        <w:bottom w:val="none" w:sz="0" w:space="0" w:color="auto"/>
        <w:right w:val="none" w:sz="0" w:space="0" w:color="auto"/>
      </w:divBdr>
    </w:div>
    <w:div w:id="1263219206">
      <w:bodyDiv w:val="1"/>
      <w:marLeft w:val="0"/>
      <w:marRight w:val="0"/>
      <w:marTop w:val="0"/>
      <w:marBottom w:val="0"/>
      <w:divBdr>
        <w:top w:val="none" w:sz="0" w:space="0" w:color="auto"/>
        <w:left w:val="none" w:sz="0" w:space="0" w:color="auto"/>
        <w:bottom w:val="none" w:sz="0" w:space="0" w:color="auto"/>
        <w:right w:val="none" w:sz="0" w:space="0" w:color="auto"/>
      </w:divBdr>
    </w:div>
    <w:div w:id="1272934799">
      <w:bodyDiv w:val="1"/>
      <w:marLeft w:val="0"/>
      <w:marRight w:val="0"/>
      <w:marTop w:val="0"/>
      <w:marBottom w:val="0"/>
      <w:divBdr>
        <w:top w:val="none" w:sz="0" w:space="0" w:color="auto"/>
        <w:left w:val="none" w:sz="0" w:space="0" w:color="auto"/>
        <w:bottom w:val="none" w:sz="0" w:space="0" w:color="auto"/>
        <w:right w:val="none" w:sz="0" w:space="0" w:color="auto"/>
      </w:divBdr>
    </w:div>
    <w:div w:id="1327435660">
      <w:bodyDiv w:val="1"/>
      <w:marLeft w:val="0"/>
      <w:marRight w:val="0"/>
      <w:marTop w:val="0"/>
      <w:marBottom w:val="0"/>
      <w:divBdr>
        <w:top w:val="none" w:sz="0" w:space="0" w:color="auto"/>
        <w:left w:val="none" w:sz="0" w:space="0" w:color="auto"/>
        <w:bottom w:val="none" w:sz="0" w:space="0" w:color="auto"/>
        <w:right w:val="none" w:sz="0" w:space="0" w:color="auto"/>
      </w:divBdr>
    </w:div>
    <w:div w:id="1425613418">
      <w:bodyDiv w:val="1"/>
      <w:marLeft w:val="0"/>
      <w:marRight w:val="0"/>
      <w:marTop w:val="0"/>
      <w:marBottom w:val="0"/>
      <w:divBdr>
        <w:top w:val="none" w:sz="0" w:space="0" w:color="auto"/>
        <w:left w:val="none" w:sz="0" w:space="0" w:color="auto"/>
        <w:bottom w:val="none" w:sz="0" w:space="0" w:color="auto"/>
        <w:right w:val="none" w:sz="0" w:space="0" w:color="auto"/>
      </w:divBdr>
    </w:div>
    <w:div w:id="1437214525">
      <w:bodyDiv w:val="1"/>
      <w:marLeft w:val="0"/>
      <w:marRight w:val="0"/>
      <w:marTop w:val="0"/>
      <w:marBottom w:val="0"/>
      <w:divBdr>
        <w:top w:val="none" w:sz="0" w:space="0" w:color="auto"/>
        <w:left w:val="none" w:sz="0" w:space="0" w:color="auto"/>
        <w:bottom w:val="none" w:sz="0" w:space="0" w:color="auto"/>
        <w:right w:val="none" w:sz="0" w:space="0" w:color="auto"/>
      </w:divBdr>
    </w:div>
    <w:div w:id="1495410485">
      <w:bodyDiv w:val="1"/>
      <w:marLeft w:val="0"/>
      <w:marRight w:val="0"/>
      <w:marTop w:val="0"/>
      <w:marBottom w:val="0"/>
      <w:divBdr>
        <w:top w:val="none" w:sz="0" w:space="0" w:color="auto"/>
        <w:left w:val="none" w:sz="0" w:space="0" w:color="auto"/>
        <w:bottom w:val="none" w:sz="0" w:space="0" w:color="auto"/>
        <w:right w:val="none" w:sz="0" w:space="0" w:color="auto"/>
      </w:divBdr>
    </w:div>
    <w:div w:id="1496069644">
      <w:bodyDiv w:val="1"/>
      <w:marLeft w:val="0"/>
      <w:marRight w:val="0"/>
      <w:marTop w:val="0"/>
      <w:marBottom w:val="0"/>
      <w:divBdr>
        <w:top w:val="none" w:sz="0" w:space="0" w:color="auto"/>
        <w:left w:val="none" w:sz="0" w:space="0" w:color="auto"/>
        <w:bottom w:val="none" w:sz="0" w:space="0" w:color="auto"/>
        <w:right w:val="none" w:sz="0" w:space="0" w:color="auto"/>
      </w:divBdr>
    </w:div>
    <w:div w:id="1556116540">
      <w:bodyDiv w:val="1"/>
      <w:marLeft w:val="0"/>
      <w:marRight w:val="0"/>
      <w:marTop w:val="0"/>
      <w:marBottom w:val="0"/>
      <w:divBdr>
        <w:top w:val="none" w:sz="0" w:space="0" w:color="auto"/>
        <w:left w:val="none" w:sz="0" w:space="0" w:color="auto"/>
        <w:bottom w:val="none" w:sz="0" w:space="0" w:color="auto"/>
        <w:right w:val="none" w:sz="0" w:space="0" w:color="auto"/>
      </w:divBdr>
      <w:divsChild>
        <w:div w:id="111411766">
          <w:marLeft w:val="0"/>
          <w:marRight w:val="0"/>
          <w:marTop w:val="0"/>
          <w:marBottom w:val="0"/>
          <w:divBdr>
            <w:top w:val="none" w:sz="0" w:space="0" w:color="auto"/>
            <w:left w:val="none" w:sz="0" w:space="0" w:color="auto"/>
            <w:bottom w:val="none" w:sz="0" w:space="0" w:color="auto"/>
            <w:right w:val="none" w:sz="0" w:space="0" w:color="auto"/>
          </w:divBdr>
          <w:divsChild>
            <w:div w:id="1366519959">
              <w:marLeft w:val="0"/>
              <w:marRight w:val="0"/>
              <w:marTop w:val="0"/>
              <w:marBottom w:val="0"/>
              <w:divBdr>
                <w:top w:val="none" w:sz="0" w:space="0" w:color="auto"/>
                <w:left w:val="none" w:sz="0" w:space="0" w:color="auto"/>
                <w:bottom w:val="none" w:sz="0" w:space="0" w:color="auto"/>
                <w:right w:val="none" w:sz="0" w:space="0" w:color="auto"/>
              </w:divBdr>
              <w:divsChild>
                <w:div w:id="1947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62329">
      <w:bodyDiv w:val="1"/>
      <w:marLeft w:val="0"/>
      <w:marRight w:val="0"/>
      <w:marTop w:val="0"/>
      <w:marBottom w:val="0"/>
      <w:divBdr>
        <w:top w:val="none" w:sz="0" w:space="0" w:color="auto"/>
        <w:left w:val="none" w:sz="0" w:space="0" w:color="auto"/>
        <w:bottom w:val="none" w:sz="0" w:space="0" w:color="auto"/>
        <w:right w:val="none" w:sz="0" w:space="0" w:color="auto"/>
      </w:divBdr>
    </w:div>
    <w:div w:id="1762947572">
      <w:bodyDiv w:val="1"/>
      <w:marLeft w:val="0"/>
      <w:marRight w:val="0"/>
      <w:marTop w:val="0"/>
      <w:marBottom w:val="0"/>
      <w:divBdr>
        <w:top w:val="none" w:sz="0" w:space="0" w:color="auto"/>
        <w:left w:val="none" w:sz="0" w:space="0" w:color="auto"/>
        <w:bottom w:val="none" w:sz="0" w:space="0" w:color="auto"/>
        <w:right w:val="none" w:sz="0" w:space="0" w:color="auto"/>
      </w:divBdr>
    </w:div>
    <w:div w:id="1763912326">
      <w:bodyDiv w:val="1"/>
      <w:marLeft w:val="0"/>
      <w:marRight w:val="0"/>
      <w:marTop w:val="0"/>
      <w:marBottom w:val="0"/>
      <w:divBdr>
        <w:top w:val="none" w:sz="0" w:space="0" w:color="auto"/>
        <w:left w:val="none" w:sz="0" w:space="0" w:color="auto"/>
        <w:bottom w:val="none" w:sz="0" w:space="0" w:color="auto"/>
        <w:right w:val="none" w:sz="0" w:space="0" w:color="auto"/>
      </w:divBdr>
    </w:div>
    <w:div w:id="21054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CAT/C/CAN/CO/6" TargetMode="External"/><Relationship Id="rId13" Type="http://schemas.openxmlformats.org/officeDocument/2006/relationships/hyperlink" Target="https://undocs.org/CEDAW/C/GC/28" TargetMode="External"/><Relationship Id="rId18" Type="http://schemas.openxmlformats.org/officeDocument/2006/relationships/hyperlink" Target="http://www.un.org/womenwatch/daw/cedaw/protocol/decisions-views/CEDAW%20Decision%20on%20AT%20vs%20Hungary%20English.pdf" TargetMode="External"/><Relationship Id="rId26" Type="http://schemas.openxmlformats.org/officeDocument/2006/relationships/hyperlink" Target="http://undocs.org/A/HRC/23/49" TargetMode="External"/><Relationship Id="rId3" Type="http://schemas.openxmlformats.org/officeDocument/2006/relationships/hyperlink" Target="http://blog.omct.org/violence-women-private-actors-state-responsibility-convention-torture/" TargetMode="External"/><Relationship Id="rId21" Type="http://schemas.openxmlformats.org/officeDocument/2006/relationships/hyperlink" Target="http://www.refworld.org/docid/45139c9b4.html" TargetMode="External"/><Relationship Id="rId7" Type="http://schemas.openxmlformats.org/officeDocument/2006/relationships/hyperlink" Target="http://undocs.org/CAT/C/CR/34/BHR" TargetMode="External"/><Relationship Id="rId12" Type="http://schemas.openxmlformats.org/officeDocument/2006/relationships/hyperlink" Target="http://www.missingwomeninquiry.ca/wp-content/uploads/2010/10/RESE-5-June-2012-MB-Violence-Against-Women-Evolving-Legal-Standards-on-Police-Duties-to-Protect-Investigate.pdf" TargetMode="External"/><Relationship Id="rId17" Type="http://schemas.openxmlformats.org/officeDocument/2006/relationships/hyperlink" Target="http://hrlibrary.umn.edu/cases/54-01.html" TargetMode="External"/><Relationship Id="rId25" Type="http://schemas.openxmlformats.org/officeDocument/2006/relationships/hyperlink" Target="http://undocs.org/A/72/134" TargetMode="External"/><Relationship Id="rId2" Type="http://schemas.openxmlformats.org/officeDocument/2006/relationships/hyperlink" Target="http://undocs.org/CAT/C/GC/2" TargetMode="External"/><Relationship Id="rId16" Type="http://schemas.openxmlformats.org/officeDocument/2006/relationships/hyperlink" Target="http://blog.omct.org/violence-women-private-actors-state-responsibility-convention-torture/" TargetMode="External"/><Relationship Id="rId20" Type="http://schemas.openxmlformats.org/officeDocument/2006/relationships/hyperlink" Target="http://www.refworld.org/cases,IACRTHR,40279a9e4.html" TargetMode="External"/><Relationship Id="rId29" Type="http://schemas.openxmlformats.org/officeDocument/2006/relationships/hyperlink" Target="http://undocs.org/A/HRC/17/26" TargetMode="External"/><Relationship Id="rId1" Type="http://schemas.openxmlformats.org/officeDocument/2006/relationships/hyperlink" Target="http://undocs.org/CAT/C/CAN/7" TargetMode="External"/><Relationship Id="rId6" Type="http://schemas.openxmlformats.org/officeDocument/2006/relationships/hyperlink" Target="http://undocs.org/CAT/C/ECU/CO/3" TargetMode="External"/><Relationship Id="rId11" Type="http://schemas.openxmlformats.org/officeDocument/2006/relationships/hyperlink" Target="https://undocs.org/CEDAW/C/GC/35" TargetMode="External"/><Relationship Id="rId24" Type="http://schemas.openxmlformats.org/officeDocument/2006/relationships/hyperlink" Target="http://undocs.org/E/CN.4/1996/53" TargetMode="External"/><Relationship Id="rId5" Type="http://schemas.openxmlformats.org/officeDocument/2006/relationships/hyperlink" Target="http://undocs.org/CAT/C/CR/33/2" TargetMode="External"/><Relationship Id="rId15" Type="http://schemas.openxmlformats.org/officeDocument/2006/relationships/hyperlink" Target="https://indigenousfoundations.arts.ubc.ca/sixties_scoop/" TargetMode="External"/><Relationship Id="rId23" Type="http://schemas.openxmlformats.org/officeDocument/2006/relationships/hyperlink" Target="http://www.cidh.org/countryrep/EnHa95/EngHaiti.htm" TargetMode="External"/><Relationship Id="rId28" Type="http://schemas.openxmlformats.org/officeDocument/2006/relationships/hyperlink" Target="http://undocs.org/E/CN.4/1999/68" TargetMode="External"/><Relationship Id="rId10" Type="http://schemas.openxmlformats.org/officeDocument/2006/relationships/hyperlink" Target="http://www.un.org/documents/ga/res/48/a48r104.htm" TargetMode="External"/><Relationship Id="rId19" Type="http://schemas.openxmlformats.org/officeDocument/2006/relationships/hyperlink" Target="http://www.refworld.org/cases,ECHR,4a2f84392.html" TargetMode="External"/><Relationship Id="rId31" Type="http://schemas.openxmlformats.org/officeDocument/2006/relationships/hyperlink" Target="https://www.rcaanc-cirnac.gc.ca/eng/1449240606362/1534528865114" TargetMode="External"/><Relationship Id="rId4" Type="http://schemas.openxmlformats.org/officeDocument/2006/relationships/hyperlink" Target="http://undocs.org/CAT/C/29/D/161/2000" TargetMode="External"/><Relationship Id="rId9" Type="http://schemas.openxmlformats.org/officeDocument/2006/relationships/hyperlink" Target="http://undocs.org/E/CN.4/2006/61" TargetMode="External"/><Relationship Id="rId14" Type="http://schemas.openxmlformats.org/officeDocument/2006/relationships/hyperlink" Target="https://indigenousfoundations.arts.ubc.ca/the_residential_school_system/" TargetMode="External"/><Relationship Id="rId22" Type="http://schemas.openxmlformats.org/officeDocument/2006/relationships/hyperlink" Target="http://www.refworld.org/docid/453883fb0.html" TargetMode="External"/><Relationship Id="rId27" Type="http://schemas.openxmlformats.org/officeDocument/2006/relationships/hyperlink" Target="http://undocs.org/A/HRC/26/38" TargetMode="External"/><Relationship Id="rId30" Type="http://schemas.openxmlformats.org/officeDocument/2006/relationships/hyperlink" Target="http://www.mmiwg-ff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9773-297F-4B78-94E9-C7DDD5C6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2697</Words>
  <Characters>15377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Rao</dc:creator>
  <cp:keywords/>
  <dc:description/>
  <cp:lastModifiedBy>Alex Neve</cp:lastModifiedBy>
  <cp:revision>2</cp:revision>
  <dcterms:created xsi:type="dcterms:W3CDTF">2018-11-20T08:22:00Z</dcterms:created>
  <dcterms:modified xsi:type="dcterms:W3CDTF">2018-11-20T08:22:00Z</dcterms:modified>
</cp:coreProperties>
</file>